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2"/>
          <w:kern w:val="0"/>
          <w:sz w:val="44"/>
          <w:szCs w:val="44"/>
          <w:lang w:val="en-US" w:eastAsia="zh-CN"/>
        </w:rPr>
        <w:t>《福州港口生产发展扶持政策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before="75" w:line="560" w:lineRule="exact"/>
        <w:ind w:left="0" w:firstLine="0" w:firstLineChars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2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auto"/>
          <w:spacing w:val="-2"/>
          <w:kern w:val="0"/>
          <w:sz w:val="44"/>
          <w:szCs w:val="44"/>
          <w:lang w:val="en-US" w:eastAsia="zh-CN"/>
        </w:rPr>
        <w:t>（2026-2028年）实施细则》起草说明</w:t>
      </w:r>
    </w:p>
    <w:p>
      <w:pPr>
        <w:rPr>
          <w:rFonts w:hint="eastAsia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根据《福州市人民政府关于印发福州港口生产发展扶持政策（2026-2028年）的通知》（榕政规〔2026〕4号），规范港口生产发展奖励资金申报、审核、拨付全流程，省福州港中心、市交通局、市财政局共同起草了《福州港口生产发展扶持政策（2026-2028年）实施细则（征求意见稿）》，现将有关情况说明如下：</w:t>
      </w:r>
    </w:p>
    <w:p>
      <w:pPr>
        <w:widowControl/>
        <w:spacing w:beforeLines="0" w:afterLines="0" w:line="580" w:lineRule="exact"/>
        <w:ind w:firstLine="708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  <w:t>一、起草背景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港口作为综合交通运输枢纽和经济社会发展战略资源，其高质量发展是服务“一带一路”、区域协调发展等国家重大战略的关键支撑。《福州市人民政府关于印发福州港口生产发展扶持政策（2026-2028年）的通知》（榕政规〔2026〕4号）已于2026年2月6日印发，为稳定既有航线运力、吸引新增外贸及对台航线、提升集装箱吞吐规模、拓展海铁联运/江海联运等多式联运通道，亟需通过细化政策落地规则，明确奖补标准、申报主体、办理流程和监督要求，保障财政资金精准高效支持港口产业发展，特制定本实施细则。</w:t>
      </w:r>
    </w:p>
    <w:p>
      <w:pPr>
        <w:widowControl/>
        <w:spacing w:beforeLines="0" w:afterLines="0" w:line="580" w:lineRule="exact"/>
        <w:ind w:firstLine="708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  <w:t>二、主要起草依据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1.《福州市人民政府关于印发福州港口生产发展扶持政策（2026-2028年）的通知》（榕政规〔2026〕4号）；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2.《财政违法行为处罚处分条例》（国务院令第427号）及相关财政资金管理规定；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3.福州港生产运营实际及国内同类港口扶持政策经验。</w:t>
      </w:r>
    </w:p>
    <w:p>
      <w:pPr>
        <w:widowControl/>
        <w:spacing w:beforeLines="0" w:afterLines="0" w:line="580" w:lineRule="exact"/>
        <w:ind w:firstLine="708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  <w:t>三、主要内容说明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细则共5章25条，配套20个标准化附件，核心内容如下：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  <w:t>1.总则部分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明确政策执行期为2026年1月1日至2028年12月31日，确立“企业自愿申报、部门审核、财政核拨”的工作机制，规定奖励资金原则上次年3月30日前启动申报，经第三方机构专项审查、公示无异议后按程序拨付。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  <w:t>2.奖补事项及规则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覆盖国际航线、对台航线、集装箱吞吐量、航运企业贡献、多式联运、滚装业务6大类18项奖补，同时设置年度奖励总额上限，总盘控制在1.5亿元/年，市、县财政按1:1分担，超额时除新增国际航线奖补外其余项目按比例核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  <w:t>3.申报与审核要求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逐项明确申报材料清单，统一配套申请表、明细表模板，规定所有申报材料需提供纸质版+电子版，申报单位对材料真实性负责，弄虚作假的企业3年内不得申报，涉嫌犯罪的移送司法机关。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8" w:firstLineChars="200"/>
        <w:textAlignment w:val="auto"/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spacing w:val="-6"/>
          <w:kern w:val="2"/>
          <w:sz w:val="32"/>
          <w:szCs w:val="32"/>
          <w:lang w:val="en-US" w:eastAsia="zh-CN" w:bidi="ar-SA"/>
        </w:rPr>
        <w:t>4.管理与附则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明确政策调整需经市政府同意后实施，由市交通局会同省福州港中心和市财政局负责解释；2028年度新增航线考核期可顺延，若政策不再延续按实际运营航次同标准兑现奖补。</w:t>
      </w:r>
    </w:p>
    <w:p>
      <w:pPr>
        <w:widowControl/>
        <w:spacing w:beforeLines="0" w:afterLines="0" w:line="580" w:lineRule="exact"/>
        <w:ind w:firstLine="708"/>
        <w:jc w:val="left"/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highlight w:val="none"/>
        </w:rPr>
        <w:t>四、政策执行期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  <w:t>本政策由市交通运输局会同福建省福州港口发展中心、市财政局负责解释，执行期为3年，即2026年1月1日至2028年12月31日。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textAlignment w:val="auto"/>
        <w:rPr>
          <w:rFonts w:hint="eastAsia" w:ascii="仿宋_GB2312" w:hAnsi="仿宋_GB2312" w:eastAsia="仿宋_GB2312" w:cs="仿宋_GB2312"/>
          <w:bCs/>
          <w:color w:val="auto"/>
          <w:spacing w:val="-6"/>
          <w:kern w:val="2"/>
          <w:sz w:val="32"/>
          <w:szCs w:val="32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E7CFC"/>
    <w:rsid w:val="5FFFA024"/>
    <w:rsid w:val="6B7C2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line="560" w:lineRule="exact"/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1232</Words>
  <Characters>1332</Characters>
  <Lines>0</Lines>
  <Paragraphs>0</Paragraphs>
  <TotalTime>2</TotalTime>
  <ScaleCrop>false</ScaleCrop>
  <LinksUpToDate>false</LinksUpToDate>
  <CharactersWithSpaces>1342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2026-06-03T01:25:00Z</dcterms:created>
  <dc:creator>iPhone</dc:creator>
  <cp:lastModifiedBy>user</cp:lastModifiedBy>
  <cp:lastPrinted>2026-06-03T15:20:35Z</cp:lastPrinted>
  <dcterms:modified xsi:type="dcterms:W3CDTF">2026-06-03T15:20:44Z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4399A04CAE57186F23311E6AE37AEE15_31</vt:lpwstr>
  </property>
  <property fmtid="{D5CDD505-2E9C-101B-9397-08002B2CF9AE}" pid="4" name="KSOTemplateDocerSaveRecord">
    <vt:lpwstr>eyJoZGlkIjoiYThlZjY5NTFlMzA0ODNlZGUyOGVkMjU0ZjNkYTE1NjMiLCJ1c2VySWQiOiI2ODczMzI2NDkifQ==</vt:lpwstr>
  </property>
</Properties>
</file>