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60" w:lineRule="exact"/>
        <w:jc w:val="center"/>
        <w:textAlignment w:val="auto"/>
        <w:rPr>
          <w:rFonts w:hint="eastAsia"/>
          <w:color w:val="auto"/>
          <w:sz w:val="44"/>
          <w:szCs w:val="44"/>
          <w:lang w:val="en-US" w:eastAsia="zh-CN"/>
        </w:rPr>
      </w:pPr>
      <w:r>
        <w:rPr>
          <w:rFonts w:hint="eastAsia"/>
          <w:color w:val="auto"/>
          <w:sz w:val="44"/>
          <w:szCs w:val="44"/>
          <w:lang w:val="en-US" w:eastAsia="zh-CN"/>
        </w:rPr>
        <w:t>关于印发《福州市农村客运车辆运营及客货邮融合发展资金补助方案》的通知</w:t>
      </w:r>
    </w:p>
    <w:p>
      <w:pPr>
        <w:pStyle w:val="2"/>
        <w:ind w:left="0" w:leftChars="0" w:firstLine="0" w:firstLineChars="0"/>
        <w:jc w:val="center"/>
        <w:rPr>
          <w:rFonts w:hint="default"/>
          <w:color w:val="auto"/>
          <w:lang w:val="en-US" w:eastAsia="zh-CN"/>
        </w:rPr>
      </w:pPr>
      <w:r>
        <w:rPr>
          <w:rFonts w:hint="eastAsia"/>
          <w:color w:val="auto"/>
          <w:sz w:val="44"/>
          <w:szCs w:val="44"/>
          <w:lang w:val="en-US" w:eastAsia="zh-CN"/>
        </w:rPr>
        <w:t>（征求意见稿）</w:t>
      </w:r>
    </w:p>
    <w:p>
      <w:pPr>
        <w:keepNext w:val="0"/>
        <w:keepLines w:val="0"/>
        <w:pageBreakBefore w:val="0"/>
        <w:widowControl w:val="0"/>
        <w:kinsoku/>
        <w:wordWrap/>
        <w:overflowPunct/>
        <w:topLinePunct w:val="0"/>
        <w:autoSpaceDN/>
        <w:bidi w:val="0"/>
        <w:spacing w:line="560" w:lineRule="exact"/>
        <w:ind w:firstLine="880" w:firstLineChars="200"/>
        <w:jc w:val="center"/>
        <w:textAlignment w:val="auto"/>
        <w:rPr>
          <w:rFonts w:hint="eastAsia"/>
          <w:color w:val="auto"/>
          <w:sz w:val="44"/>
          <w:szCs w:val="44"/>
          <w:lang w:val="en-US" w:eastAsia="zh-CN"/>
        </w:rPr>
      </w:pPr>
    </w:p>
    <w:p>
      <w:pPr>
        <w:keepNext w:val="0"/>
        <w:keepLines w:val="0"/>
        <w:pageBreakBefore w:val="0"/>
        <w:widowControl w:val="0"/>
        <w:kinsoku/>
        <w:wordWrap/>
        <w:overflowPunct/>
        <w:topLinePunct w:val="0"/>
        <w:autoSpaceDN/>
        <w:bidi w:val="0"/>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各县（市）和长乐、晋安区交通运输局、财政局、市道路运输事业发展中心：</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为助力乡村振兴战略，实现</w:t>
      </w:r>
      <w:r>
        <w:rPr>
          <w:rFonts w:hint="eastAsia" w:ascii="仿宋_GB2312" w:hAnsi="仿宋_GB2312" w:eastAsia="仿宋_GB2312" w:cs="仿宋_GB2312"/>
          <w:color w:val="auto"/>
          <w:sz w:val="32"/>
          <w:szCs w:val="32"/>
          <w:lang w:val="en-US" w:eastAsia="zh-CN"/>
        </w:rPr>
        <w:t>农村</w:t>
      </w:r>
      <w:bookmarkStart w:id="0" w:name="_GoBack"/>
      <w:bookmarkEnd w:id="0"/>
      <w:r>
        <w:rPr>
          <w:rFonts w:hint="eastAsia" w:ascii="仿宋_GB2312" w:hAnsi="仿宋_GB2312" w:eastAsia="仿宋_GB2312" w:cs="仿宋_GB2312"/>
          <w:color w:val="auto"/>
          <w:sz w:val="32"/>
          <w:szCs w:val="32"/>
          <w:lang w:val="en-US" w:eastAsia="zh-CN"/>
        </w:rPr>
        <w:t>客运</w:t>
      </w:r>
      <w:r>
        <w:rPr>
          <w:rFonts w:hint="eastAsia" w:ascii="仿宋_GB2312" w:hAnsi="仿宋_GB2312" w:eastAsia="仿宋_GB2312" w:cs="仿宋_GB2312"/>
          <w:color w:val="auto"/>
          <w:sz w:val="32"/>
          <w:szCs w:val="32"/>
          <w:lang w:eastAsia="zh-CN"/>
        </w:rPr>
        <w:t>可持续发展，更好服务人民群众出行和城乡经济社会发展，根据国家、省、市关于推进乡村振兴战略</w:t>
      </w:r>
      <w:r>
        <w:rPr>
          <w:rFonts w:hint="eastAsia" w:ascii="仿宋_GB2312" w:hAnsi="仿宋_GB2312" w:eastAsia="仿宋_GB2312" w:cs="仿宋_GB2312"/>
          <w:color w:val="auto"/>
          <w:sz w:val="32"/>
          <w:szCs w:val="32"/>
        </w:rPr>
        <w:t>等系列部署</w:t>
      </w:r>
      <w:r>
        <w:rPr>
          <w:rFonts w:hint="eastAsia" w:ascii="仿宋_GB2312" w:hAnsi="仿宋_GB2312" w:eastAsia="仿宋_GB2312" w:cs="仿宋_GB2312"/>
          <w:color w:val="auto"/>
          <w:sz w:val="32"/>
          <w:szCs w:val="32"/>
          <w:lang w:eastAsia="zh-CN"/>
        </w:rPr>
        <w:t>以及《福建省财政厅</w:t>
      </w:r>
      <w:r>
        <w:rPr>
          <w:rFonts w:hint="eastAsia" w:ascii="仿宋_GB2312" w:hAnsi="仿宋_GB2312" w:eastAsia="仿宋_GB2312" w:cs="仿宋_GB2312"/>
          <w:color w:val="auto"/>
          <w:sz w:val="32"/>
          <w:szCs w:val="32"/>
          <w:lang w:val="en-US" w:eastAsia="zh-CN"/>
        </w:rPr>
        <w:t xml:space="preserve"> 福建省交通运输厅关于印发&lt;</w:t>
      </w:r>
      <w:r>
        <w:rPr>
          <w:rFonts w:hint="eastAsia" w:ascii="仿宋_GB2312" w:hAnsi="仿宋_GB2312" w:eastAsia="仿宋_GB2312" w:cs="仿宋_GB2312"/>
          <w:color w:val="auto"/>
          <w:sz w:val="32"/>
          <w:szCs w:val="32"/>
          <w:lang w:eastAsia="zh-CN"/>
        </w:rPr>
        <w:t>福建省农村道路客运和城市交通发展奖励涨价补贴资金管理办法</w:t>
      </w:r>
      <w:r>
        <w:rPr>
          <w:rFonts w:hint="eastAsia" w:ascii="仿宋_GB2312" w:hAnsi="仿宋_GB2312" w:eastAsia="仿宋_GB2312" w:cs="仿宋_GB2312"/>
          <w:color w:val="auto"/>
          <w:sz w:val="32"/>
          <w:szCs w:val="32"/>
          <w:lang w:val="en-US" w:eastAsia="zh-CN"/>
        </w:rPr>
        <w:t>&gt;的通知》(闽财规</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精神，</w:t>
      </w:r>
      <w:r>
        <w:rPr>
          <w:rFonts w:hint="eastAsia" w:ascii="仿宋_GB2312" w:hAnsi="仿宋_GB2312" w:eastAsia="仿宋_GB2312" w:cs="仿宋_GB2312"/>
          <w:color w:val="auto"/>
          <w:sz w:val="32"/>
          <w:szCs w:val="32"/>
          <w:lang w:val="en-US" w:eastAsia="zh-CN"/>
        </w:rPr>
        <w:t>特制定本方案，请抓好贯彻落实。</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福州市交通运输局   福州市财政局</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2024年2月29日</w:t>
      </w:r>
    </w:p>
    <w:p>
      <w:pPr>
        <w:keepNext w:val="0"/>
        <w:keepLines w:val="0"/>
        <w:pageBreakBefore w:val="0"/>
        <w:widowControl w:val="0"/>
        <w:kinsoku/>
        <w:wordWrap/>
        <w:overflowPunct/>
        <w:topLinePunct w:val="0"/>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福州市市级农村客运车辆运营及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客货邮融合发展资金补助方案</w:t>
      </w:r>
    </w:p>
    <w:p>
      <w:pPr>
        <w:keepNext w:val="0"/>
        <w:keepLines w:val="0"/>
        <w:pageBreakBefore w:val="0"/>
        <w:widowControl w:val="0"/>
        <w:kinsoku/>
        <w:wordWrap/>
        <w:overflowPunct/>
        <w:topLinePunct w:val="0"/>
        <w:autoSpaceDN/>
        <w:bidi w:val="0"/>
        <w:spacing w:line="560" w:lineRule="exact"/>
        <w:ind w:firstLine="880" w:firstLineChars="200"/>
        <w:jc w:val="center"/>
        <w:textAlignment w:val="auto"/>
        <w:rPr>
          <w:rFonts w:hint="eastAsia"/>
          <w:color w:val="auto"/>
          <w:sz w:val="44"/>
          <w:szCs w:val="44"/>
          <w:lang w:val="en-US" w:eastAsia="zh-CN"/>
        </w:rPr>
      </w:pP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为深入贯彻落实党中央、国务院关于实施乡村振兴战略部署和习近平总书记对“四好农村路”的重要指示精神，提升农村客运通达率和服务水平，确保农村客运“开得通、留得住”,畅通“工业品下乡、农产品进城”渠道，有效调动农村客运企业和经营者的积极性，为实施乡村振兴战略和农村客货邮融合发展提供更好的保障。现结合我市农村客运工作实际，制定本方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交通运输部办公厅关于加快构建发展长效机制切实保障农村客运稳定运行的通知》（交办运〔2022〕41号）和《福建省交通运输厅关于印发&lt;福建省农村客货邮整合发展试点县考核方案&gt;的通知》（闽交运〔2023〕9号）要求，为推动我市农村客运可持续稳定发展，推进农村客货邮融合发展，结合我市实际，制定本方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（二）本方案所称的农村客运车辆运营补贴和农村客货邮融合发展补贴资金（以下简称“补贴资金”），是指用于扶持我市农村道路客运和农村客货邮融合发展的市级补助资金。</w:t>
      </w:r>
    </w:p>
    <w:p>
      <w:pPr>
        <w:pStyle w:val="2"/>
        <w:keepNext w:val="0"/>
        <w:keepLines w:val="0"/>
        <w:pageBreakBefore w:val="0"/>
        <w:widowControl w:val="0"/>
        <w:kinsoku/>
        <w:wordWrap/>
        <w:overflowPunct/>
        <w:topLinePunct w:val="0"/>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pacing w:val="-6"/>
          <w:sz w:val="32"/>
          <w:szCs w:val="32"/>
          <w:highlight w:val="none"/>
        </w:rPr>
        <w:t>本方案补贴执行期限</w:t>
      </w:r>
      <w:r>
        <w:rPr>
          <w:rFonts w:hint="eastAsia" w:ascii="仿宋_GB2312" w:hAnsi="仿宋_GB2312" w:eastAsia="仿宋_GB2312" w:cs="仿宋_GB2312"/>
          <w:color w:val="auto"/>
          <w:spacing w:val="-6"/>
          <w:sz w:val="32"/>
          <w:szCs w:val="32"/>
          <w:highlight w:val="none"/>
          <w:lang w:eastAsia="zh-CN"/>
        </w:rPr>
        <w:t>为三年，</w:t>
      </w:r>
      <w:r>
        <w:rPr>
          <w:rFonts w:hint="eastAsia" w:ascii="仿宋_GB2312" w:hAnsi="仿宋_GB2312" w:eastAsia="仿宋_GB2312" w:cs="仿宋_GB2312"/>
          <w:color w:val="auto"/>
          <w:spacing w:val="-6"/>
          <w:sz w:val="32"/>
          <w:szCs w:val="32"/>
          <w:highlight w:val="none"/>
        </w:rPr>
        <w:t>从202</w:t>
      </w: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年至202</w:t>
      </w:r>
      <w:r>
        <w:rPr>
          <w:rFonts w:hint="eastAsia" w:ascii="仿宋_GB2312" w:hAnsi="仿宋_GB2312" w:eastAsia="仿宋_GB2312" w:cs="仿宋_GB2312"/>
          <w:color w:val="auto"/>
          <w:spacing w:val="-6"/>
          <w:sz w:val="32"/>
          <w:szCs w:val="32"/>
          <w:highlight w:val="none"/>
          <w:lang w:val="en-US" w:eastAsia="zh-CN"/>
        </w:rPr>
        <w:t>5</w:t>
      </w:r>
      <w:r>
        <w:rPr>
          <w:rFonts w:hint="eastAsia" w:ascii="仿宋_GB2312" w:hAnsi="仿宋_GB2312" w:eastAsia="仿宋_GB2312" w:cs="仿宋_GB2312"/>
          <w:color w:val="auto"/>
          <w:spacing w:val="-6"/>
          <w:sz w:val="32"/>
          <w:szCs w:val="32"/>
          <w:highlight w:val="none"/>
        </w:rPr>
        <w:t>年</w:t>
      </w:r>
      <w:r>
        <w:rPr>
          <w:rFonts w:hint="eastAsia" w:ascii="仿宋_GB2312" w:hAnsi="仿宋_GB2312" w:eastAsia="仿宋_GB2312" w:cs="仿宋_GB2312"/>
          <w:color w:val="auto"/>
          <w:spacing w:val="-6"/>
          <w:sz w:val="32"/>
          <w:szCs w:val="32"/>
        </w:rPr>
        <w:t>。</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补贴资金的管理按照“分级管理、各负其责、相互配合”的原则，划分市与县（市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和交通</w:t>
      </w:r>
      <w:r>
        <w:rPr>
          <w:rFonts w:hint="eastAsia" w:ascii="仿宋_GB2312" w:hAnsi="仿宋_GB2312" w:eastAsia="仿宋_GB2312" w:cs="仿宋_GB2312"/>
          <w:color w:val="auto"/>
          <w:sz w:val="32"/>
          <w:szCs w:val="32"/>
          <w:highlight w:val="none"/>
          <w:lang w:val="en-US" w:eastAsia="zh-CN"/>
        </w:rPr>
        <w:t>运输局</w:t>
      </w:r>
      <w:r>
        <w:rPr>
          <w:rFonts w:hint="eastAsia" w:ascii="仿宋_GB2312" w:hAnsi="仿宋_GB2312" w:eastAsia="仿宋_GB2312" w:cs="仿宋_GB2312"/>
          <w:color w:val="auto"/>
          <w:spacing w:val="-6"/>
          <w:sz w:val="32"/>
          <w:szCs w:val="32"/>
          <w:highlight w:val="none"/>
        </w:rPr>
        <w:t>的管理职责，在申报、审核、拨付、监督等环节做到职责分明、责任清晰。</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二、部门职责</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（一）</w:t>
      </w:r>
      <w:r>
        <w:rPr>
          <w:rFonts w:hint="eastAsia" w:ascii="仿宋_GB2312" w:hAnsi="仿宋_GB2312" w:eastAsia="仿宋_GB2312" w:cs="仿宋_GB2312"/>
          <w:color w:val="auto"/>
          <w:sz w:val="32"/>
          <w:szCs w:val="32"/>
          <w:highlight w:val="none"/>
        </w:rPr>
        <w:t>市财政局负责补贴资金拨付，组织预算绩效管理，并根据工作需要，开展补贴资金监督和财政评价相关工作。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（二）市</w:t>
      </w:r>
      <w:r>
        <w:rPr>
          <w:rFonts w:hint="eastAsia" w:ascii="仿宋_GB2312" w:hAnsi="仿宋_GB2312" w:eastAsia="仿宋_GB2312" w:cs="仿宋_GB2312"/>
          <w:color w:val="auto"/>
          <w:sz w:val="32"/>
          <w:szCs w:val="32"/>
          <w:highlight w:val="none"/>
        </w:rPr>
        <w:t>交通运输局负责补贴资金预算管理，提出补贴资金分配方案，监督补贴资金使用，开展预算绩效管理相关工作。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（三）我市各</w:t>
      </w:r>
      <w:r>
        <w:rPr>
          <w:rFonts w:hint="eastAsia" w:ascii="仿宋_GB2312" w:hAnsi="仿宋_GB2312" w:eastAsia="仿宋_GB2312" w:cs="仿宋_GB2312"/>
          <w:color w:val="auto"/>
          <w:sz w:val="32"/>
          <w:szCs w:val="32"/>
          <w:highlight w:val="none"/>
        </w:rPr>
        <w:t>县（市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和长乐、晋安</w:t>
      </w:r>
      <w:r>
        <w:rPr>
          <w:rFonts w:hint="eastAsia" w:ascii="仿宋_GB2312" w:hAnsi="仿宋_GB2312" w:eastAsia="仿宋_GB2312" w:cs="仿宋_GB2312"/>
          <w:color w:val="auto"/>
          <w:sz w:val="32"/>
          <w:szCs w:val="32"/>
          <w:highlight w:val="none"/>
        </w:rPr>
        <w:t>区财政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负责将补贴资金拨付至补贴对象，组织预算绩效管理，并根据工作需要，开展补贴资金监督检查和财政评价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eastAsia="仿宋_GB2312"/>
          <w:color w:val="auto"/>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
        </w:rPr>
        <w:t>各</w:t>
      </w:r>
      <w:r>
        <w:rPr>
          <w:rFonts w:hint="eastAsia" w:ascii="仿宋_GB2312" w:hAnsi="仿宋_GB2312" w:eastAsia="仿宋_GB2312" w:cs="仿宋_GB2312"/>
          <w:color w:val="auto"/>
          <w:sz w:val="32"/>
          <w:szCs w:val="32"/>
          <w:highlight w:val="none"/>
        </w:rPr>
        <w:t>县（市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和长乐、晋安</w:t>
      </w:r>
      <w:r>
        <w:rPr>
          <w:rFonts w:hint="eastAsia" w:ascii="仿宋_GB2312" w:hAnsi="仿宋_GB2312" w:eastAsia="仿宋_GB2312" w:cs="仿宋_GB2312"/>
          <w:color w:val="auto"/>
          <w:sz w:val="32"/>
          <w:szCs w:val="32"/>
          <w:highlight w:val="none"/>
        </w:rPr>
        <w:t>区交通</w:t>
      </w:r>
      <w:r>
        <w:rPr>
          <w:rFonts w:hint="eastAsia" w:ascii="仿宋_GB2312" w:hAnsi="仿宋_GB2312" w:eastAsia="仿宋_GB2312" w:cs="仿宋_GB2312"/>
          <w:color w:val="auto"/>
          <w:sz w:val="32"/>
          <w:szCs w:val="32"/>
          <w:highlight w:val="none"/>
          <w:lang w:val="en-US" w:eastAsia="zh-CN"/>
        </w:rPr>
        <w:t>运输局</w:t>
      </w:r>
      <w:r>
        <w:rPr>
          <w:rFonts w:hint="eastAsia" w:ascii="仿宋_GB2312" w:hAnsi="仿宋_GB2312" w:eastAsia="仿宋_GB2312" w:cs="仿宋_GB2312"/>
          <w:color w:val="auto"/>
          <w:sz w:val="32"/>
          <w:szCs w:val="32"/>
          <w:highlight w:val="none"/>
        </w:rPr>
        <w:t>负责补贴资金的申报、审核和具体使用管理，提出本行政区域内补贴资金分配方案，配合</w:t>
      </w:r>
      <w:r>
        <w:rPr>
          <w:rFonts w:hint="eastAsia" w:ascii="仿宋_GB2312" w:hAnsi="仿宋_GB2312" w:eastAsia="仿宋_GB2312" w:cs="仿宋_GB2312"/>
          <w:color w:val="auto"/>
          <w:sz w:val="32"/>
          <w:szCs w:val="32"/>
          <w:highlight w:val="none"/>
          <w:lang w:val="en-US" w:eastAsia="zh-CN"/>
        </w:rPr>
        <w:t>同级</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将补贴资金拨付至补贴对象</w:t>
      </w:r>
      <w:r>
        <w:rPr>
          <w:rFonts w:ascii="Times New Roman" w:hAnsi="Times New Roman" w:eastAsia="仿宋_GB2312"/>
          <w:color w:val="auto"/>
          <w:sz w:val="32"/>
          <w:szCs w:val="32"/>
          <w:highlight w:val="none"/>
        </w:rPr>
        <w:t>，对资金使用情况开展全过程预算绩效管理</w:t>
      </w:r>
      <w:r>
        <w:rPr>
          <w:rFonts w:hint="eastAsia" w:ascii="Times New Roman" w:hAnsi="Times New Roman" w:eastAsia="仿宋_GB2312"/>
          <w:color w:val="auto"/>
          <w:sz w:val="32"/>
          <w:szCs w:val="32"/>
          <w:highlight w:val="none"/>
        </w:rPr>
        <w:t>相关工作</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补助对象</w:t>
      </w:r>
      <w:r>
        <w:rPr>
          <w:rFonts w:hint="eastAsia" w:ascii="黑体" w:hAnsi="黑体" w:eastAsia="黑体"/>
          <w:color w:val="auto"/>
          <w:sz w:val="32"/>
          <w:szCs w:val="32"/>
          <w:lang w:val="en-US" w:eastAsia="zh-CN"/>
        </w:rPr>
        <w:t>及条件</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一</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补助对象</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仿宋_GB2312" w:cs="Times New Roman"/>
          <w:b w:val="0"/>
          <w:bCs w:val="0"/>
          <w:color w:val="auto"/>
          <w:sz w:val="32"/>
          <w:szCs w:val="32"/>
          <w:lang w:val="en-US" w:eastAsia="zh-CN"/>
        </w:rPr>
        <w:t>1、车辆补助：</w:t>
      </w:r>
      <w:r>
        <w:rPr>
          <w:rFonts w:hint="eastAsia" w:ascii="仿宋_GB2312" w:eastAsia="仿宋_GB2312"/>
          <w:color w:val="auto"/>
          <w:sz w:val="32"/>
          <w:szCs w:val="32"/>
          <w:lang w:eastAsia="zh-CN"/>
        </w:rPr>
        <w:t>补助</w:t>
      </w:r>
      <w:r>
        <w:rPr>
          <w:rFonts w:hint="eastAsia" w:ascii="仿宋_GB2312" w:eastAsia="仿宋_GB2312"/>
          <w:color w:val="auto"/>
          <w:sz w:val="32"/>
          <w:szCs w:val="32"/>
        </w:rPr>
        <w:t>对象为我市现有在册从事农村客运的车辆。</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hint="default" w:eastAsia="仿宋_GB2312"/>
          <w:color w:val="auto"/>
          <w:lang w:val="en-US" w:eastAsia="zh-CN"/>
        </w:rPr>
      </w:pPr>
      <w:r>
        <w:rPr>
          <w:rFonts w:hint="eastAsia" w:ascii="Times New Roman" w:hAnsi="Times New Roman" w:eastAsia="仿宋_GB2312" w:cs="Times New Roman"/>
          <w:b w:val="0"/>
          <w:bCs w:val="0"/>
          <w:color w:val="auto"/>
          <w:kern w:val="2"/>
          <w:sz w:val="32"/>
          <w:szCs w:val="32"/>
          <w:lang w:val="en-US" w:eastAsia="zh-CN" w:bidi="ar-SA"/>
        </w:rPr>
        <w:t>2、试点县补助：</w:t>
      </w:r>
      <w:r>
        <w:rPr>
          <w:rFonts w:hint="eastAsia" w:ascii="仿宋_GB2312" w:hAnsi="仿宋_GB2312" w:eastAsia="仿宋_GB2312" w:cs="仿宋_GB2312"/>
          <w:i w:val="0"/>
          <w:iCs w:val="0"/>
          <w:caps w:val="0"/>
          <w:color w:val="auto"/>
          <w:spacing w:val="0"/>
          <w:sz w:val="32"/>
          <w:szCs w:val="32"/>
          <w:shd w:val="clear" w:color="auto" w:fill="FFFFFF"/>
          <w:lang w:eastAsia="zh-CN"/>
        </w:rPr>
        <w:t>申报并经省级交通运输部门确认为年度省级农村客货邮融合发展试点县的县（</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二</w:t>
      </w:r>
      <w:r>
        <w:rPr>
          <w:rFonts w:hint="eastAsia" w:ascii="仿宋_GB2312" w:eastAsia="仿宋_GB2312"/>
          <w:b w:val="0"/>
          <w:bCs w:val="0"/>
          <w:color w:val="auto"/>
          <w:sz w:val="32"/>
          <w:szCs w:val="32"/>
          <w:lang w:eastAsia="zh-CN"/>
        </w:rPr>
        <w:t>）申请条件</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1、车辆补助条件</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农村客运经营者须持有</w:t>
      </w:r>
      <w:r>
        <w:rPr>
          <w:rFonts w:hint="eastAsia" w:ascii="仿宋_GB2312" w:eastAsia="仿宋_GB2312"/>
          <w:color w:val="auto"/>
          <w:sz w:val="32"/>
          <w:szCs w:val="32"/>
          <w:lang w:val="en-US" w:eastAsia="zh-CN"/>
        </w:rPr>
        <w:t>合法有效的</w:t>
      </w:r>
      <w:r>
        <w:rPr>
          <w:rFonts w:hint="eastAsia" w:ascii="仿宋_GB2312" w:eastAsia="仿宋_GB2312"/>
          <w:color w:val="auto"/>
          <w:sz w:val="32"/>
          <w:szCs w:val="32"/>
        </w:rPr>
        <w:t>《道路运输经营许可证》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车辆持有合法有效</w:t>
      </w:r>
      <w:r>
        <w:rPr>
          <w:rFonts w:hint="eastAsia" w:ascii="仿宋_GB2312" w:eastAsia="仿宋_GB2312"/>
          <w:color w:val="auto"/>
          <w:sz w:val="32"/>
          <w:szCs w:val="32"/>
        </w:rPr>
        <w:t>《道路运输证》</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 xml:space="preserve">申请补贴资金的车辆应在福建省道路运政管理信息系统中车辆属性为“农村客运”，且已接入省级卫星定位监控平台，经交通运输主管部门认定从事建制村通客车的农村道路客运车辆。 </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（3）已取得年度省级农村客运补贴的车辆</w:t>
      </w:r>
      <w:r>
        <w:rPr>
          <w:rFonts w:hint="eastAsia" w:ascii="仿宋_GB2312" w:eastAsia="仿宋_GB2312"/>
          <w:color w:val="auto"/>
          <w:sz w:val="32"/>
          <w:szCs w:val="32"/>
          <w:lang w:eastAsia="zh-CN"/>
        </w:rPr>
        <w:t>。</w:t>
      </w:r>
    </w:p>
    <w:p>
      <w:pPr>
        <w:pStyle w:val="2"/>
        <w:rPr>
          <w:rFonts w:hint="eastAsia"/>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）县级交通运输主管部门需将申请补贴资金的申请</w:t>
      </w:r>
      <w:r>
        <w:rPr>
          <w:rFonts w:hint="eastAsia" w:ascii="仿宋_GB2312" w:eastAsia="仿宋_GB2312"/>
          <w:color w:val="auto"/>
          <w:sz w:val="32"/>
          <w:szCs w:val="32"/>
          <w:lang w:val="en-US" w:eastAsia="zh-CN"/>
        </w:rPr>
        <w:t>企业</w:t>
      </w:r>
      <w:r>
        <w:rPr>
          <w:rFonts w:hint="eastAsia" w:ascii="仿宋_GB2312" w:eastAsia="仿宋_GB2312"/>
          <w:color w:val="auto"/>
          <w:sz w:val="32"/>
          <w:szCs w:val="32"/>
          <w:lang w:eastAsia="zh-CN"/>
        </w:rPr>
        <w:t>(国有企业除外)报同级公安机关审核，并由公安机关出具涉及企业和个人的专项资金涉黑比对证明材料。</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2、试点县补助条件</w:t>
      </w:r>
    </w:p>
    <w:p>
      <w:pPr>
        <w:pStyle w:val="2"/>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被</w:t>
      </w:r>
      <w:r>
        <w:rPr>
          <w:rFonts w:hint="eastAsia" w:ascii="仿宋_GB2312" w:hAnsi="仿宋_GB2312" w:eastAsia="仿宋_GB2312" w:cs="仿宋_GB2312"/>
          <w:i w:val="0"/>
          <w:iCs w:val="0"/>
          <w:caps w:val="0"/>
          <w:color w:val="auto"/>
          <w:spacing w:val="0"/>
          <w:sz w:val="32"/>
          <w:szCs w:val="32"/>
          <w:shd w:val="clear" w:color="auto" w:fill="FFFFFF"/>
          <w:lang w:eastAsia="zh-CN"/>
        </w:rPr>
        <w:t>省级交通运输部门</w:t>
      </w:r>
      <w:r>
        <w:rPr>
          <w:rFonts w:hint="eastAsia" w:ascii="仿宋_GB2312" w:hAnsi="仿宋_GB2312" w:eastAsia="仿宋_GB2312" w:cs="仿宋_GB2312"/>
          <w:i w:val="0"/>
          <w:iCs w:val="0"/>
          <w:caps w:val="0"/>
          <w:color w:val="auto"/>
          <w:spacing w:val="0"/>
          <w:sz w:val="32"/>
          <w:szCs w:val="32"/>
          <w:shd w:val="clear" w:color="auto" w:fill="FFFFFF"/>
          <w:lang w:val="en-US" w:eastAsia="zh-CN"/>
        </w:rPr>
        <w:t>正式文件</w:t>
      </w:r>
      <w:r>
        <w:rPr>
          <w:rFonts w:hint="eastAsia" w:ascii="仿宋_GB2312" w:hAnsi="仿宋_GB2312" w:eastAsia="仿宋_GB2312" w:cs="仿宋_GB2312"/>
          <w:i w:val="0"/>
          <w:iCs w:val="0"/>
          <w:caps w:val="0"/>
          <w:color w:val="auto"/>
          <w:spacing w:val="0"/>
          <w:sz w:val="32"/>
          <w:szCs w:val="32"/>
          <w:shd w:val="clear" w:color="auto" w:fill="FFFFFF"/>
          <w:lang w:eastAsia="zh-CN"/>
        </w:rPr>
        <w:t>确认为年度省级农村客货邮融合发展试点县</w:t>
      </w:r>
      <w:r>
        <w:rPr>
          <w:rFonts w:hint="eastAsia" w:ascii="仿宋_GB2312" w:hAnsi="仿宋_GB2312" w:eastAsia="仿宋_GB2312" w:cs="仿宋_GB2312"/>
          <w:i w:val="0"/>
          <w:iCs w:val="0"/>
          <w:caps w:val="0"/>
          <w:color w:val="auto"/>
          <w:spacing w:val="0"/>
          <w:sz w:val="32"/>
          <w:szCs w:val="32"/>
          <w:shd w:val="clear" w:color="auto" w:fill="FFFFFF"/>
          <w:lang w:val="en-US" w:eastAsia="zh-CN"/>
        </w:rPr>
        <w:t>的。</w:t>
      </w:r>
    </w:p>
    <w:p>
      <w:pPr>
        <w:pStyle w:val="4"/>
        <w:keepNext w:val="0"/>
        <w:keepLines w:val="0"/>
        <w:pageBreakBefore w:val="0"/>
        <w:widowControl w:val="0"/>
        <w:numPr>
          <w:ilvl w:val="0"/>
          <w:numId w:val="1"/>
        </w:numPr>
        <w:kinsoku/>
        <w:wordWrap/>
        <w:overflowPunct/>
        <w:topLinePunct w:val="0"/>
        <w:autoSpaceDE w:val="0"/>
        <w:autoSpaceDN/>
        <w:bidi w:val="0"/>
        <w:adjustRightInd/>
        <w:snapToGrid w:val="0"/>
        <w:spacing w:before="0" w:beforeAutospacing="0" w:after="0" w:afterAutospacing="0" w:line="560" w:lineRule="exact"/>
        <w:ind w:left="638" w:leftChars="304" w:firstLine="0" w:firstLineChars="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发生下列情况之一的，取消其资格</w:t>
      </w:r>
    </w:p>
    <w:p>
      <w:pPr>
        <w:pStyle w:val="4"/>
        <w:keepNext w:val="0"/>
        <w:keepLines w:val="0"/>
        <w:pageBreakBefore w:val="0"/>
        <w:widowControl w:val="0"/>
        <w:numPr>
          <w:ilvl w:val="0"/>
          <w:numId w:val="0"/>
        </w:numPr>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rPr>
          <w:rFonts w:hint="default"/>
          <w:lang w:val="en-US" w:eastAsia="zh-CN"/>
        </w:rPr>
      </w:pPr>
      <w:r>
        <w:rPr>
          <w:rFonts w:hint="eastAsia" w:ascii="仿宋_GB2312" w:eastAsia="仿宋_GB2312"/>
          <w:color w:val="auto"/>
          <w:sz w:val="32"/>
          <w:szCs w:val="32"/>
        </w:rPr>
        <w:t>一是以虚假资料申报认定资格和享受政策扶持的；二是发生重大安全事故、劳动纠纷案件、记入企业信用信息档案等情况采取一票否决的；三是其他违反国家法律、法规或省、市文件规定不得申领补助资金情形的。</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、补助标准</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一</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车辆补助标准</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按照每</w:t>
      </w:r>
      <w:r>
        <w:rPr>
          <w:rFonts w:hint="eastAsia" w:ascii="仿宋" w:hAnsi="仿宋" w:eastAsia="仿宋" w:cs="仿宋_GB2312"/>
          <w:color w:val="auto"/>
          <w:sz w:val="32"/>
          <w:szCs w:val="32"/>
          <w:lang w:val="en-US" w:eastAsia="zh-CN"/>
        </w:rPr>
        <w:t>座5元/经营月</w:t>
      </w:r>
      <w:r>
        <w:rPr>
          <w:rFonts w:hint="eastAsia" w:ascii="仿宋" w:hAnsi="仿宋" w:eastAsia="仿宋" w:cs="仿宋_GB2312"/>
          <w:color w:val="auto"/>
          <w:sz w:val="32"/>
          <w:szCs w:val="32"/>
        </w:rPr>
        <w:t>的标准给予运营补助。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试点县补助标准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按照《省级客货邮融合试点县考核方案》要求，经省级交通运输部门确认为年度省级农村客货邮融合发展试点县，</w:t>
      </w:r>
      <w:r>
        <w:rPr>
          <w:rFonts w:hint="eastAsia" w:ascii="仿宋_GB2312" w:hAnsi="仿宋_GB2312" w:eastAsia="仿宋_GB2312" w:cs="仿宋_GB2312"/>
          <w:i w:val="0"/>
          <w:iCs w:val="0"/>
          <w:caps w:val="0"/>
          <w:color w:val="auto"/>
          <w:spacing w:val="0"/>
          <w:sz w:val="32"/>
          <w:szCs w:val="32"/>
          <w:shd w:val="clear" w:color="auto" w:fill="FFFFFF"/>
          <w:lang w:val="en-US" w:eastAsia="zh-CN"/>
        </w:rPr>
        <w:t>每年每县</w:t>
      </w:r>
      <w:r>
        <w:rPr>
          <w:rFonts w:hint="eastAsia" w:ascii="仿宋_GB2312" w:hAnsi="仿宋_GB2312" w:eastAsia="仿宋_GB2312" w:cs="仿宋_GB2312"/>
          <w:i w:val="0"/>
          <w:iCs w:val="0"/>
          <w:caps w:val="0"/>
          <w:color w:val="auto"/>
          <w:spacing w:val="0"/>
          <w:sz w:val="32"/>
          <w:szCs w:val="32"/>
          <w:shd w:val="clear" w:color="auto" w:fill="FFFFFF"/>
          <w:lang w:eastAsia="zh-CN"/>
        </w:rPr>
        <w:t>给予奖励</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0万元。</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、申请程序及申报材料</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（一）车辆补助</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企业申报</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符合补助条件的客运企业，每年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月对本</w:t>
      </w:r>
      <w:r>
        <w:rPr>
          <w:rFonts w:hint="eastAsia" w:ascii="仿宋_GB2312" w:eastAsia="仿宋_GB2312"/>
          <w:color w:val="auto"/>
          <w:sz w:val="32"/>
          <w:szCs w:val="32"/>
          <w:lang w:val="en-US" w:eastAsia="zh-CN"/>
        </w:rPr>
        <w:t>企业</w:t>
      </w:r>
      <w:r>
        <w:rPr>
          <w:rFonts w:hint="eastAsia" w:ascii="仿宋_GB2312" w:eastAsia="仿宋_GB2312"/>
          <w:color w:val="auto"/>
          <w:sz w:val="32"/>
          <w:szCs w:val="32"/>
        </w:rPr>
        <w:t>上年度在册的农村客运车辆进行统计，填写《</w:t>
      </w:r>
      <w:r>
        <w:rPr>
          <w:rFonts w:hint="eastAsia" w:ascii="仿宋_GB2312" w:eastAsia="仿宋_GB2312"/>
          <w:color w:val="auto"/>
          <w:sz w:val="32"/>
          <w:szCs w:val="32"/>
          <w:lang w:val="en-US" w:eastAsia="zh-CN"/>
        </w:rPr>
        <w:t>福州</w:t>
      </w:r>
      <w:r>
        <w:rPr>
          <w:rFonts w:hint="eastAsia" w:ascii="仿宋_GB2312" w:eastAsia="仿宋_GB2312"/>
          <w:color w:val="auto"/>
          <w:sz w:val="32"/>
          <w:szCs w:val="32"/>
        </w:rPr>
        <w:t>各县（市</w:t>
      </w:r>
      <w:r>
        <w:rPr>
          <w:rFonts w:hint="eastAsia" w:ascii="仿宋_GB2312" w:eastAsia="仿宋_GB2312"/>
          <w:color w:val="auto"/>
          <w:sz w:val="32"/>
          <w:szCs w:val="32"/>
          <w:lang w:eastAsia="zh-CN"/>
        </w:rPr>
        <w:t>）</w:t>
      </w:r>
      <w:r>
        <w:rPr>
          <w:rFonts w:hint="eastAsia" w:ascii="仿宋_GB2312" w:eastAsia="仿宋_GB2312"/>
          <w:color w:val="auto"/>
          <w:sz w:val="32"/>
          <w:szCs w:val="32"/>
        </w:rPr>
        <w:t>区在册农村客运车辆明细表》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见附件2</w:t>
      </w:r>
      <w:r>
        <w:rPr>
          <w:rFonts w:hint="eastAsia" w:ascii="仿宋_GB2312" w:eastAsia="仿宋_GB2312"/>
          <w:color w:val="auto"/>
          <w:sz w:val="32"/>
          <w:szCs w:val="32"/>
          <w:lang w:eastAsia="zh-CN"/>
        </w:rPr>
        <w:t>）</w:t>
      </w:r>
      <w:r>
        <w:rPr>
          <w:rFonts w:hint="eastAsia" w:ascii="仿宋_GB2312" w:eastAsia="仿宋_GB2312"/>
          <w:color w:val="auto"/>
          <w:sz w:val="32"/>
          <w:szCs w:val="32"/>
        </w:rPr>
        <w:t>，报县（市</w:t>
      </w:r>
      <w:r>
        <w:rPr>
          <w:rFonts w:hint="eastAsia" w:ascii="仿宋_GB2312" w:eastAsia="仿宋_GB2312"/>
          <w:color w:val="auto"/>
          <w:sz w:val="32"/>
          <w:szCs w:val="32"/>
          <w:lang w:eastAsia="zh-CN"/>
        </w:rPr>
        <w:t>）</w:t>
      </w:r>
      <w:r>
        <w:rPr>
          <w:rFonts w:hint="eastAsia" w:ascii="仿宋_GB2312" w:eastAsia="仿宋_GB2312"/>
          <w:color w:val="auto"/>
          <w:sz w:val="32"/>
          <w:szCs w:val="32"/>
        </w:rPr>
        <w:t>区级交通</w:t>
      </w:r>
      <w:r>
        <w:rPr>
          <w:rFonts w:hint="eastAsia" w:ascii="仿宋_GB2312" w:eastAsia="仿宋_GB2312"/>
          <w:color w:val="auto"/>
          <w:sz w:val="32"/>
          <w:szCs w:val="32"/>
          <w:lang w:val="en-US" w:eastAsia="zh-CN"/>
        </w:rPr>
        <w:t>运输局</w:t>
      </w:r>
      <w:r>
        <w:rPr>
          <w:rFonts w:hint="eastAsia" w:ascii="仿宋_GB2312" w:eastAsia="仿宋_GB2312"/>
          <w:color w:val="auto"/>
          <w:sz w:val="32"/>
          <w:szCs w:val="32"/>
        </w:rPr>
        <w:t>，同时提供对申报材料真实性负责的</w:t>
      </w:r>
      <w:r>
        <w:rPr>
          <w:rFonts w:hint="eastAsia" w:ascii="仿宋_GB2312" w:eastAsia="仿宋_GB2312"/>
          <w:color w:val="auto"/>
          <w:sz w:val="32"/>
          <w:szCs w:val="32"/>
          <w:lang w:val="en-US" w:eastAsia="zh-CN"/>
        </w:rPr>
        <w:t>说</w:t>
      </w:r>
      <w:r>
        <w:rPr>
          <w:rFonts w:hint="eastAsia" w:ascii="仿宋_GB2312" w:eastAsia="仿宋_GB2312"/>
          <w:color w:val="auto"/>
          <w:sz w:val="32"/>
          <w:szCs w:val="32"/>
        </w:rPr>
        <w:t>明。</w:t>
      </w:r>
    </w:p>
    <w:p>
      <w:pPr>
        <w:keepNext w:val="0"/>
        <w:keepLines w:val="0"/>
        <w:pageBreakBefore w:val="0"/>
        <w:widowControl w:val="0"/>
        <w:numPr>
          <w:ilvl w:val="0"/>
          <w:numId w:val="3"/>
        </w:numPr>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核实</w:t>
      </w:r>
      <w:r>
        <w:rPr>
          <w:rFonts w:hint="eastAsia" w:ascii="仿宋_GB2312" w:eastAsia="仿宋_GB2312"/>
          <w:color w:val="auto"/>
          <w:sz w:val="32"/>
          <w:szCs w:val="32"/>
        </w:rPr>
        <w:t>上报</w:t>
      </w:r>
    </w:p>
    <w:p>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县（市</w:t>
      </w:r>
      <w:r>
        <w:rPr>
          <w:rFonts w:hint="eastAsia" w:ascii="仿宋_GB2312" w:eastAsia="仿宋_GB2312"/>
          <w:color w:val="auto"/>
          <w:sz w:val="32"/>
          <w:szCs w:val="32"/>
          <w:lang w:eastAsia="zh-CN"/>
        </w:rPr>
        <w:t>）</w:t>
      </w:r>
      <w:r>
        <w:rPr>
          <w:rFonts w:hint="eastAsia" w:ascii="仿宋_GB2312" w:eastAsia="仿宋_GB2312"/>
          <w:color w:val="auto"/>
          <w:sz w:val="32"/>
          <w:szCs w:val="32"/>
        </w:rPr>
        <w:t>区级交通</w:t>
      </w:r>
      <w:r>
        <w:rPr>
          <w:rFonts w:hint="eastAsia" w:ascii="仿宋_GB2312" w:eastAsia="仿宋_GB2312"/>
          <w:color w:val="auto"/>
          <w:sz w:val="32"/>
          <w:szCs w:val="32"/>
          <w:lang w:val="en-US" w:eastAsia="zh-CN"/>
        </w:rPr>
        <w:t>运输局</w:t>
      </w:r>
      <w:r>
        <w:rPr>
          <w:rFonts w:hint="eastAsia" w:ascii="仿宋_GB2312" w:eastAsia="仿宋_GB2312"/>
          <w:color w:val="auto"/>
          <w:sz w:val="32"/>
          <w:szCs w:val="32"/>
        </w:rPr>
        <w:t>对辖区客运企业申报情况进行审核、汇总，并对企业申报材料的真实性进行核实后，报同级财政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和市</w:t>
      </w:r>
      <w:r>
        <w:rPr>
          <w:rFonts w:hint="eastAsia" w:ascii="仿宋_GB2312" w:eastAsia="仿宋_GB2312"/>
          <w:color w:val="auto"/>
          <w:sz w:val="32"/>
          <w:szCs w:val="32"/>
          <w:lang w:val="en-US" w:eastAsia="zh-CN"/>
        </w:rPr>
        <w:t>交通运输局</w:t>
      </w:r>
      <w:r>
        <w:rPr>
          <w:rFonts w:hint="eastAsia" w:ascii="仿宋_GB2312" w:eastAsia="仿宋_GB2312"/>
          <w:color w:val="auto"/>
          <w:sz w:val="32"/>
          <w:szCs w:val="32"/>
        </w:rPr>
        <w:t>。</w:t>
      </w:r>
    </w:p>
    <w:p>
      <w:pPr>
        <w:keepNext w:val="0"/>
        <w:keepLines w:val="0"/>
        <w:pageBreakBefore w:val="0"/>
        <w:widowControl w:val="0"/>
        <w:numPr>
          <w:ilvl w:val="0"/>
          <w:numId w:val="3"/>
        </w:numPr>
        <w:kinsoku/>
        <w:wordWrap/>
        <w:overflowPunct/>
        <w:topLinePunct w:val="0"/>
        <w:autoSpaceDE w:val="0"/>
        <w:autoSpaceDN/>
        <w:bidi w:val="0"/>
        <w:adjustRightInd/>
        <w:spacing w:line="56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审核认定</w:t>
      </w:r>
    </w:p>
    <w:p>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highlight w:val="none"/>
          <w:lang w:val="en-US" w:eastAsia="zh-CN"/>
        </w:rPr>
        <w:t>每年6</w:t>
      </w:r>
      <w:r>
        <w:rPr>
          <w:rFonts w:hint="eastAsia" w:ascii="仿宋_GB2312" w:eastAsia="仿宋_GB2312"/>
          <w:color w:val="auto"/>
          <w:sz w:val="32"/>
          <w:szCs w:val="32"/>
        </w:rPr>
        <w:t>月底前，市、县（市</w:t>
      </w:r>
      <w:r>
        <w:rPr>
          <w:rFonts w:hint="eastAsia" w:ascii="仿宋_GB2312" w:eastAsia="仿宋_GB2312"/>
          <w:color w:val="auto"/>
          <w:sz w:val="32"/>
          <w:szCs w:val="32"/>
          <w:lang w:eastAsia="zh-CN"/>
        </w:rPr>
        <w:t>）</w:t>
      </w:r>
      <w:r>
        <w:rPr>
          <w:rFonts w:hint="eastAsia" w:ascii="仿宋_GB2312" w:eastAsia="仿宋_GB2312"/>
          <w:color w:val="auto"/>
          <w:sz w:val="32"/>
          <w:szCs w:val="32"/>
        </w:rPr>
        <w:t>区两级交通</w:t>
      </w:r>
      <w:r>
        <w:rPr>
          <w:rFonts w:hint="eastAsia" w:ascii="仿宋_GB2312" w:eastAsia="仿宋_GB2312"/>
          <w:color w:val="auto"/>
          <w:sz w:val="32"/>
          <w:szCs w:val="32"/>
          <w:lang w:val="en-US" w:eastAsia="zh-CN"/>
        </w:rPr>
        <w:t>运输局</w:t>
      </w:r>
      <w:r>
        <w:rPr>
          <w:rFonts w:hint="eastAsia" w:ascii="仿宋_GB2312" w:eastAsia="仿宋_GB2312"/>
          <w:color w:val="auto"/>
          <w:sz w:val="32"/>
          <w:szCs w:val="32"/>
        </w:rPr>
        <w:t>完成审核。市</w:t>
      </w:r>
      <w:r>
        <w:rPr>
          <w:rFonts w:hint="eastAsia" w:ascii="仿宋_GB2312" w:eastAsia="仿宋_GB2312"/>
          <w:color w:val="auto"/>
          <w:sz w:val="32"/>
          <w:szCs w:val="32"/>
          <w:lang w:val="en-US" w:eastAsia="zh-CN"/>
        </w:rPr>
        <w:t>交通运输局</w:t>
      </w:r>
      <w:r>
        <w:rPr>
          <w:rFonts w:hint="eastAsia" w:ascii="仿宋_GB2312" w:eastAsia="仿宋_GB2312"/>
          <w:color w:val="auto"/>
          <w:sz w:val="32"/>
          <w:szCs w:val="32"/>
        </w:rPr>
        <w:t>对县（市</w:t>
      </w:r>
      <w:r>
        <w:rPr>
          <w:rFonts w:hint="eastAsia" w:ascii="仿宋_GB2312" w:eastAsia="仿宋_GB2312"/>
          <w:color w:val="auto"/>
          <w:sz w:val="32"/>
          <w:szCs w:val="32"/>
          <w:lang w:eastAsia="zh-CN"/>
        </w:rPr>
        <w:t>）</w:t>
      </w:r>
      <w:r>
        <w:rPr>
          <w:rFonts w:hint="eastAsia" w:ascii="仿宋_GB2312" w:eastAsia="仿宋_GB2312"/>
          <w:color w:val="auto"/>
          <w:sz w:val="32"/>
          <w:szCs w:val="32"/>
        </w:rPr>
        <w:t>区</w:t>
      </w:r>
      <w:r>
        <w:rPr>
          <w:rFonts w:hint="eastAsia" w:ascii="仿宋_GB2312" w:eastAsia="仿宋_GB2312"/>
          <w:color w:val="auto"/>
          <w:sz w:val="32"/>
          <w:szCs w:val="32"/>
          <w:lang w:val="en-US" w:eastAsia="zh-CN"/>
        </w:rPr>
        <w:t>交通运输局上报</w:t>
      </w:r>
      <w:r>
        <w:rPr>
          <w:rFonts w:hint="eastAsia" w:ascii="仿宋_GB2312" w:eastAsia="仿宋_GB2312"/>
          <w:color w:val="auto"/>
          <w:sz w:val="32"/>
          <w:szCs w:val="32"/>
        </w:rPr>
        <w:t>的企业进行复核后，填报《农村客运车辆运营补助资金汇总表》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见附件3</w:t>
      </w:r>
      <w:r>
        <w:rPr>
          <w:rFonts w:hint="eastAsia" w:ascii="仿宋_GB2312" w:eastAsia="仿宋_GB2312"/>
          <w:color w:val="auto"/>
          <w:sz w:val="32"/>
          <w:szCs w:val="32"/>
          <w:lang w:eastAsia="zh-CN"/>
        </w:rPr>
        <w:t>）</w:t>
      </w:r>
      <w:r>
        <w:rPr>
          <w:rFonts w:hint="eastAsia" w:ascii="仿宋_GB2312" w:eastAsia="仿宋_GB2312"/>
          <w:color w:val="auto"/>
          <w:sz w:val="32"/>
          <w:szCs w:val="32"/>
        </w:rPr>
        <w:t>，报市财政局审核。</w:t>
      </w:r>
    </w:p>
    <w:p>
      <w:pPr>
        <w:pStyle w:val="2"/>
        <w:numPr>
          <w:ilvl w:val="0"/>
          <w:numId w:val="3"/>
        </w:numPr>
        <w:ind w:left="0" w:leftChars="0" w:firstLine="640"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资金拨付</w:t>
      </w:r>
    </w:p>
    <w:p>
      <w:pPr>
        <w:pStyle w:val="2"/>
        <w:numPr>
          <w:ilvl w:val="0"/>
          <w:numId w:val="0"/>
        </w:numPr>
        <w:ind w:firstLine="640"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color w:val="auto"/>
          <w:sz w:val="32"/>
          <w:szCs w:val="32"/>
          <w:lang w:val="en-US" w:eastAsia="zh-CN"/>
        </w:rPr>
        <w:t>市财政局审核同意后，会同市</w:t>
      </w:r>
      <w:r>
        <w:rPr>
          <w:rFonts w:hint="eastAsia" w:ascii="仿宋_GB2312" w:hAnsi="仿宋_GB2312" w:eastAsia="仿宋_GB2312" w:cs="仿宋_GB2312"/>
          <w:color w:val="auto"/>
          <w:sz w:val="32"/>
          <w:szCs w:val="32"/>
        </w:rPr>
        <w:t>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rPr>
        <w:t>局于每年</w:t>
      </w:r>
      <w:r>
        <w:rPr>
          <w:rFonts w:hint="eastAsia" w:ascii="Times New Roman" w:hAnsi="Times New Roman" w:eastAsia="仿宋_GB2312" w:cstheme="minorBidi"/>
          <w:color w:val="auto"/>
          <w:kern w:val="2"/>
          <w:sz w:val="32"/>
          <w:szCs w:val="32"/>
          <w:lang w:val="en-US" w:eastAsia="zh-CN" w:bidi="ar-SA"/>
        </w:rPr>
        <w:t>8月</w:t>
      </w:r>
      <w:r>
        <w:rPr>
          <w:rFonts w:ascii="Times New Roman" w:hAnsi="Times New Roman" w:eastAsia="仿宋_GB2312"/>
          <w:color w:val="auto"/>
          <w:sz w:val="32"/>
          <w:szCs w:val="32"/>
        </w:rPr>
        <w:t>前</w:t>
      </w:r>
      <w:r>
        <w:rPr>
          <w:rFonts w:hint="eastAsia" w:ascii="仿宋_GB2312" w:hAnsi="仿宋_GB2312" w:eastAsia="仿宋_GB2312" w:cs="仿宋_GB2312"/>
          <w:color w:val="auto"/>
          <w:sz w:val="32"/>
          <w:szCs w:val="32"/>
        </w:rPr>
        <w:t>将补助资金指标下达至企业所在地</w:t>
      </w:r>
      <w:r>
        <w:rPr>
          <w:rFonts w:hint="eastAsia" w:ascii="仿宋_GB2312" w:eastAsia="仿宋_GB2312"/>
          <w:color w:val="auto"/>
          <w:sz w:val="32"/>
          <w:szCs w:val="32"/>
        </w:rPr>
        <w:t>县（市</w:t>
      </w:r>
      <w:r>
        <w:rPr>
          <w:rFonts w:hint="eastAsia" w:ascii="仿宋_GB2312" w:eastAsia="仿宋_GB2312"/>
          <w:color w:val="auto"/>
          <w:sz w:val="32"/>
          <w:szCs w:val="32"/>
          <w:lang w:eastAsia="zh-CN"/>
        </w:rPr>
        <w:t>）</w:t>
      </w:r>
      <w:r>
        <w:rPr>
          <w:rFonts w:hint="eastAsia" w:ascii="仿宋_GB2312" w:eastAsia="仿宋_GB2312"/>
          <w:color w:val="auto"/>
          <w:sz w:val="32"/>
          <w:szCs w:val="32"/>
        </w:rPr>
        <w:t>区</w:t>
      </w:r>
      <w:r>
        <w:rPr>
          <w:rFonts w:hint="eastAsia" w:ascii="仿宋_GB2312" w:hAnsi="仿宋_GB2312" w:eastAsia="仿宋_GB2312" w:cs="仿宋_GB2312"/>
          <w:color w:val="auto"/>
          <w:sz w:val="32"/>
          <w:szCs w:val="32"/>
        </w:rPr>
        <w:t>财政局、交通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县（市</w:t>
      </w:r>
      <w:r>
        <w:rPr>
          <w:rFonts w:hint="eastAsia" w:ascii="仿宋_GB2312" w:eastAsia="仿宋_GB2312"/>
          <w:color w:val="auto"/>
          <w:sz w:val="32"/>
          <w:szCs w:val="32"/>
          <w:lang w:eastAsia="zh-CN"/>
        </w:rPr>
        <w:t>）</w:t>
      </w:r>
      <w:r>
        <w:rPr>
          <w:rFonts w:hint="eastAsia" w:ascii="仿宋_GB2312" w:eastAsia="仿宋_GB2312"/>
          <w:color w:val="auto"/>
          <w:sz w:val="32"/>
          <w:szCs w:val="32"/>
        </w:rPr>
        <w:t>区</w:t>
      </w:r>
      <w:r>
        <w:rPr>
          <w:rFonts w:hint="eastAsia" w:ascii="仿宋_GB2312" w:hAnsi="仿宋_GB2312" w:eastAsia="仿宋_GB2312" w:cs="仿宋_GB2312"/>
          <w:color w:val="auto"/>
          <w:sz w:val="32"/>
          <w:szCs w:val="32"/>
        </w:rPr>
        <w:t>财政局、交通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收到补助资金后，应</w:t>
      </w:r>
      <w:r>
        <w:rPr>
          <w:rFonts w:hint="eastAsia" w:ascii="Times New Roman" w:hAnsi="Times New Roman" w:eastAsia="仿宋_GB2312"/>
          <w:color w:val="auto"/>
          <w:sz w:val="32"/>
          <w:szCs w:val="32"/>
        </w:rPr>
        <w:t>及时</w:t>
      </w:r>
      <w:r>
        <w:rPr>
          <w:rFonts w:hint="eastAsia" w:ascii="仿宋_GB2312" w:hAnsi="仿宋_GB2312" w:eastAsia="仿宋_GB2312" w:cs="仿宋_GB2312"/>
          <w:color w:val="auto"/>
          <w:sz w:val="32"/>
          <w:szCs w:val="32"/>
        </w:rPr>
        <w:t>将资金拨付至补贴对象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试点县</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1、县（市）区申请</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符合补助条件的</w:t>
      </w:r>
      <w:r>
        <w:rPr>
          <w:rFonts w:hint="eastAsia" w:ascii="仿宋_GB2312" w:eastAsia="仿宋_GB2312"/>
          <w:color w:val="auto"/>
          <w:sz w:val="32"/>
          <w:szCs w:val="32"/>
          <w:lang w:val="en-US" w:eastAsia="zh-CN"/>
        </w:rPr>
        <w:t>县（市）区，</w:t>
      </w:r>
      <w:r>
        <w:rPr>
          <w:rFonts w:hint="eastAsia" w:ascii="仿宋_GB2312" w:eastAsia="仿宋_GB2312"/>
          <w:color w:val="auto"/>
          <w:sz w:val="32"/>
          <w:szCs w:val="32"/>
        </w:rPr>
        <w:t>每年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向市交通运输局提交</w:t>
      </w:r>
      <w:r>
        <w:rPr>
          <w:rFonts w:hint="eastAsia" w:ascii="仿宋_GB2312" w:hAnsi="仿宋_GB2312" w:eastAsia="仿宋_GB2312" w:cs="仿宋_GB2312"/>
          <w:i w:val="0"/>
          <w:iCs w:val="0"/>
          <w:caps w:val="0"/>
          <w:color w:val="auto"/>
          <w:spacing w:val="0"/>
          <w:sz w:val="32"/>
          <w:szCs w:val="32"/>
          <w:shd w:val="clear" w:color="auto" w:fill="FFFFFF"/>
          <w:lang w:eastAsia="zh-CN"/>
        </w:rPr>
        <w:t>客货邮融合发展</w:t>
      </w:r>
      <w:r>
        <w:rPr>
          <w:rFonts w:hint="eastAsia" w:ascii="仿宋_GB2312" w:eastAsia="仿宋_GB2312"/>
          <w:color w:val="auto"/>
          <w:sz w:val="32"/>
          <w:szCs w:val="32"/>
          <w:lang w:val="en-US" w:eastAsia="zh-CN"/>
        </w:rPr>
        <w:t>试点县补助申请。</w:t>
      </w:r>
    </w:p>
    <w:p>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审核认定</w:t>
      </w:r>
    </w:p>
    <w:p>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月底</w:t>
      </w:r>
      <w:r>
        <w:rPr>
          <w:rFonts w:hint="eastAsia" w:ascii="仿宋_GB2312" w:eastAsia="仿宋_GB2312"/>
          <w:color w:val="auto"/>
          <w:sz w:val="32"/>
          <w:szCs w:val="32"/>
        </w:rPr>
        <w:t>前，市</w:t>
      </w:r>
      <w:r>
        <w:rPr>
          <w:rFonts w:hint="eastAsia" w:ascii="仿宋_GB2312" w:eastAsia="仿宋_GB2312"/>
          <w:color w:val="auto"/>
          <w:sz w:val="32"/>
          <w:szCs w:val="32"/>
          <w:lang w:val="en-US" w:eastAsia="zh-CN"/>
        </w:rPr>
        <w:t>交通运输局</w:t>
      </w:r>
      <w:r>
        <w:rPr>
          <w:rFonts w:hint="eastAsia" w:ascii="仿宋_GB2312" w:eastAsia="仿宋_GB2312"/>
          <w:color w:val="auto"/>
          <w:sz w:val="32"/>
          <w:szCs w:val="32"/>
        </w:rPr>
        <w:t>完成审核</w:t>
      </w:r>
      <w:r>
        <w:rPr>
          <w:rFonts w:hint="eastAsia" w:ascii="仿宋_GB2312" w:eastAsia="仿宋_GB2312"/>
          <w:color w:val="auto"/>
          <w:sz w:val="32"/>
          <w:szCs w:val="32"/>
          <w:lang w:val="en-US" w:eastAsia="zh-CN"/>
        </w:rPr>
        <w:t>后</w:t>
      </w:r>
      <w:r>
        <w:rPr>
          <w:rFonts w:hint="eastAsia" w:ascii="仿宋_GB2312" w:eastAsia="仿宋_GB2312"/>
          <w:color w:val="auto"/>
          <w:sz w:val="32"/>
          <w:szCs w:val="32"/>
          <w:lang w:eastAsia="zh-CN"/>
        </w:rPr>
        <w:t>，</w:t>
      </w:r>
      <w:r>
        <w:rPr>
          <w:rFonts w:hint="eastAsia" w:ascii="仿宋_GB2312" w:eastAsia="仿宋_GB2312"/>
          <w:color w:val="auto"/>
          <w:sz w:val="32"/>
          <w:szCs w:val="32"/>
        </w:rPr>
        <w:t>报市财政局审核。</w:t>
      </w:r>
    </w:p>
    <w:p>
      <w:pPr>
        <w:numPr>
          <w:ilvl w:val="0"/>
          <w:numId w:val="4"/>
        </w:numPr>
        <w:adjustRightInd w:val="0"/>
        <w:snapToGrid w:val="0"/>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资金拨付</w:t>
      </w:r>
    </w:p>
    <w:p>
      <w:pPr>
        <w:numPr>
          <w:ilvl w:val="0"/>
          <w:numId w:val="0"/>
        </w:numPr>
        <w:adjustRightInd w:val="0"/>
        <w:snapToGrid w:val="0"/>
        <w:spacing w:line="560" w:lineRule="exact"/>
        <w:ind w:firstLine="640" w:firstLineChars="200"/>
        <w:rPr>
          <w:rFonts w:hint="default"/>
          <w:color w:val="auto"/>
          <w:lang w:val="en-US" w:eastAsia="zh-CN"/>
        </w:rPr>
      </w:pPr>
      <w:r>
        <w:rPr>
          <w:rFonts w:hint="eastAsia" w:ascii="仿宋_GB2312" w:eastAsia="仿宋_GB2312"/>
          <w:color w:val="auto"/>
          <w:sz w:val="32"/>
          <w:szCs w:val="32"/>
          <w:lang w:val="en-US" w:eastAsia="zh-CN"/>
        </w:rPr>
        <w:t>市财政局审核同意后，会同市</w:t>
      </w:r>
      <w:r>
        <w:rPr>
          <w:rFonts w:hint="eastAsia" w:ascii="仿宋_GB2312" w:hAnsi="仿宋_GB2312" w:eastAsia="仿宋_GB2312" w:cs="仿宋_GB2312"/>
          <w:color w:val="auto"/>
          <w:sz w:val="32"/>
          <w:szCs w:val="32"/>
        </w:rPr>
        <w:t>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rPr>
        <w:t>局于每年</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月前</w:t>
      </w:r>
      <w:r>
        <w:rPr>
          <w:rFonts w:hint="eastAsia" w:ascii="仿宋_GB2312" w:hAnsi="仿宋_GB2312" w:eastAsia="仿宋_GB2312" w:cs="仿宋_GB2312"/>
          <w:color w:val="auto"/>
          <w:sz w:val="32"/>
          <w:szCs w:val="32"/>
        </w:rPr>
        <w:t>将补助资金指标下达至</w:t>
      </w:r>
      <w:r>
        <w:rPr>
          <w:rFonts w:hint="eastAsia" w:ascii="仿宋_GB2312" w:hAnsi="仿宋_GB2312" w:eastAsia="仿宋_GB2312" w:cs="仿宋_GB2312"/>
          <w:color w:val="auto"/>
          <w:sz w:val="32"/>
          <w:szCs w:val="32"/>
          <w:lang w:val="en-US" w:eastAsia="zh-CN"/>
        </w:rPr>
        <w:t>符合条件的试点</w:t>
      </w:r>
      <w:r>
        <w:rPr>
          <w:rFonts w:hint="eastAsia" w:ascii="仿宋_GB2312" w:hAnsi="仿宋_GB2312" w:eastAsia="仿宋_GB2312" w:cs="仿宋_GB2312"/>
          <w:color w:val="auto"/>
          <w:sz w:val="32"/>
          <w:szCs w:val="32"/>
        </w:rPr>
        <w:t>县（市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区财政局、交通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县（市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区财政局、交通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收到补助资金后，应</w:t>
      </w:r>
      <w:r>
        <w:rPr>
          <w:rFonts w:hint="eastAsia" w:ascii="Times New Roman" w:hAnsi="Times New Roman" w:eastAsia="仿宋_GB2312"/>
          <w:color w:val="auto"/>
          <w:sz w:val="32"/>
          <w:szCs w:val="32"/>
        </w:rPr>
        <w:t>及时</w:t>
      </w:r>
      <w:r>
        <w:rPr>
          <w:rFonts w:hint="eastAsia" w:ascii="仿宋_GB2312" w:hAnsi="仿宋_GB2312" w:eastAsia="仿宋_GB2312" w:cs="仿宋_GB2312"/>
          <w:color w:val="auto"/>
          <w:sz w:val="32"/>
          <w:szCs w:val="32"/>
        </w:rPr>
        <w:t>将资金拨付至补贴对象。</w:t>
      </w:r>
    </w:p>
    <w:p>
      <w:pPr>
        <w:pStyle w:val="4"/>
        <w:keepNext w:val="0"/>
        <w:keepLines w:val="0"/>
        <w:pageBreakBefore w:val="0"/>
        <w:widowControl w:val="0"/>
        <w:numPr>
          <w:ilvl w:val="0"/>
          <w:numId w:val="5"/>
        </w:numPr>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olor w:val="auto"/>
          <w:kern w:val="2"/>
          <w:sz w:val="32"/>
          <w:szCs w:val="32"/>
        </w:rPr>
      </w:pPr>
      <w:r>
        <w:rPr>
          <w:rFonts w:hint="eastAsia" w:ascii="黑体" w:hAnsi="黑体" w:eastAsia="黑体"/>
          <w:color w:val="auto"/>
          <w:kern w:val="2"/>
          <w:sz w:val="32"/>
          <w:szCs w:val="32"/>
          <w:lang w:val="en-US" w:eastAsia="zh-CN"/>
        </w:rPr>
        <w:t>其他要求</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（一）资金拨付按照财政国库管理制度的有关规定执行。补助资金应专款专用，</w:t>
      </w:r>
      <w:r>
        <w:rPr>
          <w:rFonts w:hint="eastAsia" w:ascii="仿宋_GB2312" w:eastAsia="仿宋_GB2312"/>
          <w:color w:val="auto"/>
          <w:sz w:val="32"/>
          <w:szCs w:val="32"/>
          <w:lang w:val="en-US" w:eastAsia="zh-CN"/>
        </w:rPr>
        <w:t>农村客运补助资金应</w:t>
      </w:r>
      <w:r>
        <w:rPr>
          <w:rFonts w:hint="eastAsia" w:ascii="仿宋_GB2312" w:eastAsia="仿宋_GB2312"/>
          <w:color w:val="auto"/>
          <w:sz w:val="32"/>
          <w:szCs w:val="32"/>
        </w:rPr>
        <w:t>全额用</w:t>
      </w:r>
      <w:r>
        <w:rPr>
          <w:rFonts w:hint="eastAsia" w:ascii="仿宋_GB2312" w:eastAsia="仿宋_GB2312"/>
          <w:color w:val="auto"/>
          <w:sz w:val="32"/>
          <w:szCs w:val="32"/>
          <w:lang w:val="en-US" w:eastAsia="zh-CN"/>
        </w:rPr>
        <w:t>于</w:t>
      </w:r>
      <w:r>
        <w:rPr>
          <w:rFonts w:hint="eastAsia" w:ascii="仿宋_GB2312" w:eastAsia="仿宋_GB2312"/>
          <w:color w:val="auto"/>
          <w:sz w:val="32"/>
          <w:szCs w:val="32"/>
          <w:lang w:eastAsia="zh-CN"/>
        </w:rPr>
        <w:t>农村道路客运车辆(含承担通建制村任务的城乡公交车)的购置、运营、信息化等补贴，</w:t>
      </w:r>
      <w:r>
        <w:rPr>
          <w:rFonts w:hint="eastAsia" w:ascii="仿宋_GB2312" w:hAnsi="仿宋_GB2312" w:eastAsia="仿宋_GB2312" w:cs="仿宋_GB2312"/>
          <w:color w:val="auto"/>
          <w:sz w:val="32"/>
          <w:szCs w:val="32"/>
        </w:rPr>
        <w:t>农村客货邮融合发展补贴资金</w:t>
      </w:r>
      <w:r>
        <w:rPr>
          <w:rFonts w:hint="eastAsia" w:ascii="仿宋_GB2312" w:hAnsi="仿宋_GB2312" w:eastAsia="仿宋_GB2312" w:cs="仿宋_GB2312"/>
          <w:color w:val="auto"/>
          <w:sz w:val="32"/>
          <w:szCs w:val="32"/>
          <w:lang w:val="en-US" w:eastAsia="zh-CN"/>
        </w:rPr>
        <w:t>应全额用于客货邮融合三级节点建设、车辆运营改造等方面</w:t>
      </w:r>
      <w:r>
        <w:rPr>
          <w:rFonts w:hint="eastAsia" w:ascii="仿宋_GB2312" w:eastAsia="仿宋_GB2312"/>
          <w:color w:val="auto"/>
          <w:sz w:val="32"/>
          <w:szCs w:val="32"/>
          <w:lang w:eastAsia="zh-CN"/>
        </w:rPr>
        <w:t>。</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市）区交通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应对辖区内补贴资金申报及资金使用情况负监管责任，每年现场抽查要落实全覆盖。全程资金管理及检查材料应建立台账，台账保存期应</w:t>
      </w:r>
      <w:r>
        <w:rPr>
          <w:rFonts w:ascii="Times New Roman" w:hAnsi="Times New Roman" w:eastAsia="仿宋_GB2312"/>
          <w:color w:val="auto"/>
          <w:sz w:val="32"/>
          <w:szCs w:val="32"/>
        </w:rPr>
        <w:t>不少于5年</w:t>
      </w:r>
      <w:r>
        <w:rPr>
          <w:rFonts w:hint="eastAsia" w:ascii="仿宋_GB2312" w:hAnsi="仿宋_GB2312" w:eastAsia="仿宋_GB2312" w:cs="仿宋_GB2312"/>
          <w:color w:val="auto"/>
          <w:sz w:val="32"/>
          <w:szCs w:val="32"/>
        </w:rPr>
        <w:t>，做到实时查询、有效追溯。</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市）区</w:t>
      </w:r>
      <w:r>
        <w:rPr>
          <w:rFonts w:hint="eastAsia" w:ascii="仿宋_GB2312" w:hAnsi="仿宋_GB2312" w:eastAsia="仿宋_GB2312" w:cs="仿宋_GB2312"/>
          <w:color w:val="auto"/>
          <w:sz w:val="32"/>
          <w:szCs w:val="32"/>
        </w:rPr>
        <w:t>两级财政部门要综合运用检查核查、评估评价、监测监控、调查研究等方式，加强补贴资金的财会监督。</w:t>
      </w:r>
    </w:p>
    <w:p>
      <w:pPr>
        <w:adjustRightInd w:val="0"/>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福州市交通</w:t>
      </w:r>
      <w:r>
        <w:rPr>
          <w:rFonts w:hint="eastAsia" w:ascii="仿宋_GB2312" w:eastAsia="仿宋_GB2312"/>
          <w:color w:val="auto"/>
          <w:sz w:val="32"/>
          <w:szCs w:val="32"/>
          <w:lang w:val="en-US" w:eastAsia="zh-CN"/>
        </w:rPr>
        <w:t>运输</w:t>
      </w:r>
      <w:r>
        <w:rPr>
          <w:rFonts w:hint="eastAsia" w:ascii="仿宋_GB2312" w:hAnsi="仿宋_GB2312" w:eastAsia="仿宋_GB2312" w:cs="仿宋_GB2312"/>
          <w:color w:val="auto"/>
          <w:sz w:val="32"/>
          <w:szCs w:val="32"/>
          <w:lang w:val="en-US" w:eastAsia="zh-CN"/>
        </w:rPr>
        <w:t>局职责由福州市道路运输事业发展中心代为行使。</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本办法自</w:t>
      </w:r>
      <w:r>
        <w:rPr>
          <w:rFonts w:hint="eastAsia" w:ascii="仿宋_GB2312" w:eastAsia="仿宋_GB2312"/>
          <w:color w:val="auto"/>
          <w:sz w:val="32"/>
          <w:szCs w:val="32"/>
          <w:lang w:val="en-US" w:eastAsia="zh-CN"/>
        </w:rPr>
        <w:t>2024年1月1日</w:t>
      </w:r>
      <w:r>
        <w:rPr>
          <w:rFonts w:hint="eastAsia" w:ascii="仿宋_GB2312" w:eastAsia="仿宋_GB2312"/>
          <w:color w:val="auto"/>
          <w:sz w:val="32"/>
          <w:szCs w:val="32"/>
        </w:rPr>
        <w:t>起实施，有效期至202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年12月31日。</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rPr>
        <w:t>附件：</w:t>
      </w:r>
      <w:r>
        <w:rPr>
          <w:rFonts w:hint="eastAsia" w:ascii="仿宋_GB2312" w:eastAsia="仿宋_GB2312"/>
          <w:color w:val="auto"/>
          <w:sz w:val="32"/>
          <w:szCs w:val="32"/>
          <w:highlight w:val="none"/>
        </w:rPr>
        <w:t>1.辖区企业在营农村客运车辆运营月座位数汇总表</w:t>
      </w:r>
    </w:p>
    <w:p>
      <w:pPr>
        <w:keepNext w:val="0"/>
        <w:keepLines w:val="0"/>
        <w:pageBreakBefore w:val="0"/>
        <w:widowControl w:val="0"/>
        <w:kinsoku/>
        <w:wordWrap/>
        <w:overflowPunct/>
        <w:topLinePunct w:val="0"/>
        <w:autoSpaceDE w:val="0"/>
        <w:autoSpaceDN/>
        <w:bidi w:val="0"/>
        <w:adjustRightInd/>
        <w:spacing w:line="560" w:lineRule="exact"/>
        <w:ind w:left="1916" w:leftChars="760" w:hanging="320" w:hangingChars="1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福州</w:t>
      </w:r>
      <w:r>
        <w:rPr>
          <w:rFonts w:hint="eastAsia" w:ascii="仿宋_GB2312" w:eastAsia="仿宋_GB2312"/>
          <w:color w:val="auto"/>
          <w:sz w:val="32"/>
          <w:szCs w:val="32"/>
          <w:highlight w:val="none"/>
        </w:rPr>
        <w:t>市各县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市）区</w:t>
      </w:r>
      <w:r>
        <w:rPr>
          <w:rFonts w:hint="eastAsia" w:ascii="仿宋_GB2312" w:eastAsia="仿宋_GB2312"/>
          <w:color w:val="auto"/>
          <w:sz w:val="32"/>
          <w:szCs w:val="32"/>
          <w:highlight w:val="none"/>
        </w:rPr>
        <w:t>在营农村客运车辆月座位数明细表</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
        </w:rPr>
        <w:t xml:space="preserve">     </w:t>
      </w:r>
      <w:r>
        <w:rPr>
          <w:rFonts w:hint="eastAsia" w:ascii="仿宋_GB2312" w:eastAsia="仿宋_GB2312"/>
          <w:color w:val="auto"/>
          <w:sz w:val="32"/>
          <w:szCs w:val="32"/>
          <w:highlight w:val="none"/>
        </w:rPr>
        <w:t>3.农村客运车辆运营补助资金汇总表</w:t>
      </w:r>
    </w:p>
    <w:p>
      <w:pPr>
        <w:keepNext w:val="0"/>
        <w:keepLines w:val="0"/>
        <w:pageBreakBefore w:val="0"/>
        <w:widowControl w:val="0"/>
        <w:kinsoku/>
        <w:wordWrap/>
        <w:overflowPunct/>
        <w:topLinePunct w:val="0"/>
        <w:autoSpaceDE w:val="0"/>
        <w:autoSpaceDN/>
        <w:bidi w:val="0"/>
        <w:adjustRightInd/>
        <w:spacing w:line="560" w:lineRule="exact"/>
        <w:ind w:firstLine="1600" w:firstLineChars="5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申报企业承诺书</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仿宋_GB2312" w:eastAsia="仿宋_GB2312"/>
          <w:color w:val="auto"/>
          <w:sz w:val="32"/>
          <w:szCs w:val="32"/>
          <w:highlight w:val="none"/>
          <w:lang w:val="en-US" w:eastAsia="zh-CN"/>
        </w:rPr>
      </w:pPr>
    </w:p>
    <w:p>
      <w:pPr>
        <w:rPr>
          <w:rFonts w:hint="eastAsia" w:ascii="仿宋_GB2312" w:eastAsia="仿宋_GB2312"/>
          <w:color w:val="auto"/>
          <w:sz w:val="32"/>
          <w:szCs w:val="32"/>
          <w:highlight w:val="yellow"/>
        </w:rPr>
      </w:pPr>
    </w:p>
    <w:p>
      <w:pPr>
        <w:pStyle w:val="2"/>
        <w:rPr>
          <w:rFonts w:hint="eastAsia" w:ascii="仿宋_GB2312" w:eastAsia="仿宋_GB2312"/>
          <w:color w:val="auto"/>
          <w:sz w:val="32"/>
          <w:szCs w:val="32"/>
          <w:highlight w:val="yellow"/>
        </w:rPr>
      </w:pPr>
    </w:p>
    <w:p>
      <w:pPr>
        <w:rPr>
          <w:rFonts w:hint="eastAsia" w:ascii="仿宋_GB2312" w:eastAsia="仿宋_GB2312"/>
          <w:color w:val="auto"/>
          <w:sz w:val="32"/>
          <w:szCs w:val="32"/>
          <w:highlight w:val="yellow"/>
        </w:rPr>
      </w:pPr>
    </w:p>
    <w:p>
      <w:pPr>
        <w:pStyle w:val="2"/>
        <w:rPr>
          <w:rFonts w:hint="eastAsia" w:ascii="仿宋_GB2312" w:eastAsia="仿宋_GB2312"/>
          <w:color w:val="auto"/>
          <w:sz w:val="32"/>
          <w:szCs w:val="32"/>
          <w:highlight w:val="yellow"/>
        </w:rPr>
      </w:pPr>
    </w:p>
    <w:p>
      <w:pPr>
        <w:rPr>
          <w:rFonts w:hint="eastAsia" w:ascii="仿宋_GB2312" w:eastAsia="仿宋_GB2312"/>
          <w:color w:val="auto"/>
          <w:sz w:val="32"/>
          <w:szCs w:val="32"/>
          <w:highlight w:val="yellow"/>
        </w:rPr>
      </w:pPr>
    </w:p>
    <w:p>
      <w:pPr>
        <w:pStyle w:val="2"/>
        <w:rPr>
          <w:rFonts w:hint="eastAsia" w:ascii="仿宋_GB2312" w:eastAsia="仿宋_GB2312"/>
          <w:color w:val="auto"/>
          <w:sz w:val="32"/>
          <w:szCs w:val="32"/>
          <w:highlight w:val="yellow"/>
        </w:rPr>
      </w:pPr>
    </w:p>
    <w:p>
      <w:pPr>
        <w:rPr>
          <w:rFonts w:hint="eastAsia" w:ascii="仿宋_GB2312" w:eastAsia="仿宋_GB2312"/>
          <w:color w:val="auto"/>
          <w:sz w:val="32"/>
          <w:szCs w:val="32"/>
          <w:highlight w:val="yellow"/>
        </w:rPr>
      </w:pPr>
    </w:p>
    <w:p>
      <w:pPr>
        <w:pStyle w:val="2"/>
        <w:rPr>
          <w:rFonts w:hint="eastAsia" w:ascii="仿宋_GB2312" w:eastAsia="仿宋_GB2312"/>
          <w:color w:val="auto"/>
          <w:sz w:val="32"/>
          <w:szCs w:val="32"/>
          <w:highlight w:val="yellow"/>
        </w:rPr>
      </w:pPr>
    </w:p>
    <w:p>
      <w:pPr>
        <w:adjustRightInd w:val="0"/>
        <w:snapToGrid w:val="0"/>
        <w:spacing w:line="560" w:lineRule="exact"/>
        <w:rPr>
          <w:rFonts w:hint="eastAsia" w:ascii="黑体" w:hAnsi="黑体" w:eastAsia="黑体" w:cs="黑体"/>
          <w:color w:val="auto"/>
          <w:sz w:val="32"/>
          <w:szCs w:val="40"/>
        </w:rPr>
      </w:pPr>
      <w:r>
        <w:rPr>
          <w:rFonts w:hint="eastAsia" w:ascii="黑体" w:hAnsi="黑体" w:eastAsia="黑体" w:cs="黑体"/>
          <w:color w:val="auto"/>
          <w:sz w:val="32"/>
          <w:szCs w:val="40"/>
        </w:rPr>
        <w:t>附件1</w:t>
      </w:r>
    </w:p>
    <w:p>
      <w:pPr>
        <w:adjustRightInd w:val="0"/>
        <w:snapToGrid w:val="0"/>
        <w:spacing w:line="560" w:lineRule="exact"/>
        <w:jc w:val="center"/>
        <w:rPr>
          <w:rFonts w:hint="eastAsia" w:ascii="方正小标宋简体" w:hAnsi="方正小标宋简体" w:eastAsia="方正小标宋简体" w:cs="方正小标宋简体"/>
          <w:color w:val="auto"/>
          <w:sz w:val="32"/>
          <w:szCs w:val="40"/>
        </w:rPr>
      </w:pPr>
    </w:p>
    <w:p>
      <w:pPr>
        <w:widowControl/>
        <w:adjustRightInd w:val="0"/>
        <w:snapToGrid w:val="0"/>
        <w:spacing w:line="560" w:lineRule="exact"/>
        <w:jc w:val="center"/>
        <w:rPr>
          <w:rFonts w:hint="eastAsia" w:ascii="方正小标宋_GBK" w:hAnsi="方正小标宋_GBK" w:eastAsia="方正小标宋_GBK" w:cs="方正小标宋_GBK"/>
          <w:color w:val="auto"/>
          <w:spacing w:val="-11"/>
          <w:sz w:val="44"/>
          <w:szCs w:val="44"/>
        </w:rPr>
      </w:pPr>
      <w:r>
        <w:rPr>
          <w:rFonts w:hint="eastAsia" w:ascii="方正小标宋_GBK" w:hAnsi="方正小标宋_GBK" w:eastAsia="方正小标宋_GBK" w:cs="方正小标宋_GBK"/>
          <w:color w:val="auto"/>
          <w:spacing w:val="-11"/>
          <w:sz w:val="44"/>
          <w:szCs w:val="44"/>
        </w:rPr>
        <w:t>辖区企业在营农村客运车辆运营月座位数汇总表</w:t>
      </w:r>
    </w:p>
    <w:p>
      <w:pPr>
        <w:adjustRightInd w:val="0"/>
        <w:snapToGrid w:val="0"/>
        <w:spacing w:line="560" w:lineRule="exact"/>
        <w:rPr>
          <w:rFonts w:hint="eastAsia" w:ascii="仿宋_GB2312" w:hAnsi="仿宋_GB2312" w:eastAsia="仿宋_GB2312" w:cs="仿宋_GB2312"/>
          <w:color w:val="auto"/>
          <w:sz w:val="32"/>
          <w:szCs w:val="40"/>
        </w:rPr>
      </w:pPr>
    </w:p>
    <w:p>
      <w:pPr>
        <w:adjustRightInd w:val="0"/>
        <w:snapToGrid w:val="0"/>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填报单位（盖章）：                   填报日期：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112"/>
        <w:gridCol w:w="198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112" w:type="dxa"/>
            <w:noWrap w:val="0"/>
            <w:vAlign w:val="top"/>
          </w:tcPr>
          <w:p>
            <w:pPr>
              <w:adjustRightInd w:val="0"/>
              <w:snapToGrid w:val="0"/>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区</w:t>
            </w:r>
          </w:p>
        </w:tc>
        <w:tc>
          <w:tcPr>
            <w:tcW w:w="1980" w:type="dxa"/>
            <w:noWrap w:val="0"/>
            <w:vAlign w:val="top"/>
          </w:tcPr>
          <w:p>
            <w:pPr>
              <w:adjustRightInd w:val="0"/>
              <w:snapToGrid w:val="0"/>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在营车辆数</w:t>
            </w:r>
          </w:p>
        </w:tc>
        <w:tc>
          <w:tcPr>
            <w:tcW w:w="3475" w:type="dxa"/>
            <w:noWrap w:val="0"/>
            <w:vAlign w:val="top"/>
          </w:tcPr>
          <w:p>
            <w:pPr>
              <w:adjustRightInd w:val="0"/>
              <w:snapToGrid w:val="0"/>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车辆运营月座位数之和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2112"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1980"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c>
          <w:tcPr>
            <w:tcW w:w="3475" w:type="dxa"/>
            <w:noWrap w:val="0"/>
            <w:vAlign w:val="top"/>
          </w:tcPr>
          <w:p>
            <w:pPr>
              <w:adjustRightInd w:val="0"/>
              <w:snapToGrid w:val="0"/>
              <w:spacing w:line="560" w:lineRule="exact"/>
              <w:rPr>
                <w:rFonts w:hint="eastAsia" w:ascii="仿宋_GB2312" w:hAnsi="仿宋_GB2312" w:eastAsia="仿宋_GB2312" w:cs="仿宋_GB2312"/>
                <w:color w:val="auto"/>
                <w:sz w:val="28"/>
                <w:szCs w:val="28"/>
              </w:rPr>
            </w:pPr>
          </w:p>
        </w:tc>
      </w:tr>
    </w:tbl>
    <w:p>
      <w:pPr>
        <w:adjustRightInd w:val="0"/>
        <w:snapToGrid w:val="0"/>
        <w:spacing w:line="400" w:lineRule="exac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28"/>
          <w:szCs w:val="28"/>
        </w:rPr>
        <w:t>填报人及联系方式：                          审核人：</w:t>
      </w:r>
      <w:r>
        <w:rPr>
          <w:rFonts w:hint="eastAsia" w:ascii="仿宋_GB2312" w:hAnsi="仿宋_GB2312" w:eastAsia="仿宋_GB2312" w:cs="仿宋_GB2312"/>
          <w:color w:val="auto"/>
          <w:sz w:val="32"/>
          <w:szCs w:val="40"/>
        </w:rPr>
        <w:t xml:space="preserve">    </w:t>
      </w:r>
    </w:p>
    <w:p>
      <w:pPr>
        <w:adjustRightInd w:val="0"/>
        <w:snapToGrid w:val="0"/>
        <w:spacing w:line="400" w:lineRule="exact"/>
        <w:rPr>
          <w:rFonts w:ascii="仿宋_GB2312" w:hAnsi="仿宋_GB2312" w:eastAsia="仿宋_GB2312" w:cs="仿宋_GB2312"/>
          <w:color w:val="auto"/>
          <w:sz w:val="32"/>
          <w:szCs w:val="40"/>
        </w:rPr>
      </w:pPr>
    </w:p>
    <w:p>
      <w:pPr>
        <w:adjustRightInd w:val="0"/>
        <w:snapToGrid w:val="0"/>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说明：1.本表所统计数据为申报年度在营车辆数据，其中“车辆月座位数</w:t>
      </w:r>
    </w:p>
    <w:p>
      <w:pPr>
        <w:adjustRightInd w:val="0"/>
        <w:snapToGrid w:val="0"/>
        <w:spacing w:line="400" w:lineRule="exact"/>
        <w:ind w:firstLine="1072" w:firstLineChars="400"/>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之和”为企业申报补助的每辆车实际运营月数</w:t>
      </w:r>
      <w:r>
        <w:rPr>
          <w:rFonts w:ascii="Arial" w:hAnsi="Arial" w:eastAsia="仿宋_GB2312" w:cs="Arial"/>
          <w:color w:val="auto"/>
          <w:spacing w:val="-6"/>
          <w:sz w:val="28"/>
          <w:szCs w:val="28"/>
        </w:rPr>
        <w:t>×</w:t>
      </w:r>
      <w:r>
        <w:rPr>
          <w:rFonts w:hint="eastAsia" w:ascii="仿宋_GB2312" w:hAnsi="仿宋_GB2312" w:eastAsia="仿宋_GB2312" w:cs="仿宋_GB2312"/>
          <w:color w:val="auto"/>
          <w:spacing w:val="-6"/>
          <w:sz w:val="28"/>
          <w:szCs w:val="28"/>
        </w:rPr>
        <w:t>核定座位数累加数。</w:t>
      </w:r>
    </w:p>
    <w:p>
      <w:pPr>
        <w:adjustRightInd w:val="0"/>
        <w:snapToGrid w:val="0"/>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2.本表由各县（市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区交通</w:t>
      </w:r>
      <w:r>
        <w:rPr>
          <w:rFonts w:hint="eastAsia" w:ascii="仿宋_GB2312" w:hAnsi="仿宋_GB2312" w:eastAsia="仿宋_GB2312" w:cs="仿宋_GB2312"/>
          <w:color w:val="auto"/>
          <w:sz w:val="28"/>
          <w:szCs w:val="28"/>
          <w:lang w:val="en-US" w:eastAsia="zh-CN"/>
        </w:rPr>
        <w:t>运输局</w:t>
      </w:r>
      <w:r>
        <w:rPr>
          <w:rFonts w:hint="eastAsia" w:ascii="仿宋_GB2312" w:hAnsi="仿宋_GB2312" w:eastAsia="仿宋_GB2312" w:cs="仿宋_GB2312"/>
          <w:color w:val="auto"/>
          <w:sz w:val="28"/>
          <w:szCs w:val="28"/>
        </w:rPr>
        <w:t>负责填报。</w:t>
      </w:r>
    </w:p>
    <w:p>
      <w:pPr>
        <w:adjustRightInd w:val="0"/>
        <w:snapToGrid w:val="0"/>
        <w:spacing w:line="400" w:lineRule="exact"/>
        <w:rPr>
          <w:rFonts w:hint="eastAsia" w:ascii="仿宋_GB2312" w:hAnsi="仿宋_GB2312" w:eastAsia="仿宋_GB2312" w:cs="仿宋_GB2312"/>
          <w:b/>
          <w:bCs/>
          <w:color w:val="auto"/>
          <w:sz w:val="32"/>
          <w:szCs w:val="40"/>
        </w:rPr>
        <w:sectPr>
          <w:footerReference r:id="rId3" w:type="default"/>
          <w:pgSz w:w="11906" w:h="16838"/>
          <w:pgMar w:top="2098" w:right="1474" w:bottom="1984" w:left="1474" w:header="851" w:footer="992" w:gutter="0"/>
          <w:cols w:space="720" w:num="1"/>
          <w:docGrid w:type="lines" w:linePitch="312" w:charSpace="0"/>
        </w:sectPr>
      </w:pPr>
    </w:p>
    <w:p>
      <w:pPr>
        <w:adjustRightInd w:val="0"/>
        <w:snapToGrid w:val="0"/>
        <w:spacing w:line="560" w:lineRule="exact"/>
        <w:rPr>
          <w:rFonts w:hint="eastAsia" w:ascii="黑体" w:hAnsi="黑体" w:eastAsia="黑体" w:cs="黑体"/>
          <w:color w:val="auto"/>
          <w:sz w:val="32"/>
          <w:szCs w:val="40"/>
        </w:rPr>
      </w:pPr>
      <w:r>
        <w:rPr>
          <w:rFonts w:hint="eastAsia" w:ascii="黑体" w:hAnsi="黑体" w:eastAsia="黑体" w:cs="黑体"/>
          <w:color w:val="auto"/>
          <w:sz w:val="32"/>
          <w:szCs w:val="40"/>
        </w:rPr>
        <w:t>附件2</w:t>
      </w:r>
    </w:p>
    <w:p>
      <w:pPr>
        <w:pStyle w:val="2"/>
        <w:adjustRightInd w:val="0"/>
        <w:snapToGrid w:val="0"/>
        <w:spacing w:line="560" w:lineRule="exact"/>
        <w:rPr>
          <w:color w:val="auto"/>
        </w:rPr>
      </w:pPr>
    </w:p>
    <w:p>
      <w:pPr>
        <w:widowControl/>
        <w:adjustRightInd w:val="0"/>
        <w:snapToGrid w:val="0"/>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福州</w:t>
      </w:r>
      <w:r>
        <w:rPr>
          <w:rFonts w:hint="eastAsia" w:ascii="方正小标宋_GBK" w:hAnsi="方正小标宋_GBK" w:eastAsia="方正小标宋_GBK" w:cs="方正小标宋_GBK"/>
          <w:color w:val="auto"/>
          <w:sz w:val="44"/>
          <w:szCs w:val="44"/>
          <w:lang w:val="en"/>
        </w:rPr>
        <w:t>市</w:t>
      </w:r>
      <w:r>
        <w:rPr>
          <w:rFonts w:hint="eastAsia" w:ascii="方正小标宋_GBK" w:hAnsi="方正小标宋_GBK" w:eastAsia="方正小标宋_GBK" w:cs="方正小标宋_GBK"/>
          <w:color w:val="auto"/>
          <w:sz w:val="44"/>
          <w:szCs w:val="44"/>
        </w:rPr>
        <w:t>各县</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市）区</w:t>
      </w:r>
      <w:r>
        <w:rPr>
          <w:rFonts w:hint="eastAsia" w:ascii="方正小标宋_GBK" w:hAnsi="方正小标宋_GBK" w:eastAsia="方正小标宋_GBK" w:cs="方正小标宋_GBK"/>
          <w:color w:val="auto"/>
          <w:sz w:val="44"/>
          <w:szCs w:val="44"/>
        </w:rPr>
        <w:t>在营农村客运车辆运营月座位数明细表</w:t>
      </w:r>
    </w:p>
    <w:p>
      <w:pPr>
        <w:adjustRightInd w:val="0"/>
        <w:snapToGrid w:val="0"/>
        <w:spacing w:line="5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填报单位（盖章）：                     填报日期：</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14"/>
        <w:gridCol w:w="3073"/>
        <w:gridCol w:w="1187"/>
        <w:gridCol w:w="745"/>
        <w:gridCol w:w="527"/>
        <w:gridCol w:w="650"/>
        <w:gridCol w:w="898"/>
        <w:gridCol w:w="761"/>
        <w:gridCol w:w="764"/>
        <w:gridCol w:w="761"/>
        <w:gridCol w:w="764"/>
        <w:gridCol w:w="668"/>
        <w:gridCol w:w="66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序号</w:t>
            </w:r>
          </w:p>
        </w:tc>
        <w:tc>
          <w:tcPr>
            <w:tcW w:w="256"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县（市</w:t>
            </w:r>
            <w:r>
              <w:rPr>
                <w:rFonts w:hint="eastAsia" w:ascii="Times New Roman" w:hAnsi="Times New Roman" w:eastAsia="仿宋"/>
                <w:b/>
                <w:bCs/>
                <w:color w:val="auto"/>
                <w:szCs w:val="21"/>
                <w:lang w:eastAsia="zh-CN"/>
              </w:rPr>
              <w:t>）</w:t>
            </w:r>
            <w:r>
              <w:rPr>
                <w:rFonts w:ascii="Times New Roman" w:hAnsi="Times New Roman" w:eastAsia="仿宋"/>
                <w:b/>
                <w:bCs/>
                <w:color w:val="auto"/>
                <w:szCs w:val="21"/>
              </w:rPr>
              <w:t>区</w:t>
            </w:r>
          </w:p>
        </w:tc>
        <w:tc>
          <w:tcPr>
            <w:tcW w:w="1102"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企业名称</w:t>
            </w:r>
          </w:p>
        </w:tc>
        <w:tc>
          <w:tcPr>
            <w:tcW w:w="426"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车号</w:t>
            </w:r>
          </w:p>
        </w:tc>
        <w:tc>
          <w:tcPr>
            <w:tcW w:w="267"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车牌颜色</w:t>
            </w:r>
          </w:p>
        </w:tc>
        <w:tc>
          <w:tcPr>
            <w:tcW w:w="189"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核定座位数</w:t>
            </w:r>
          </w:p>
        </w:tc>
        <w:tc>
          <w:tcPr>
            <w:tcW w:w="233"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实际运营月数</w:t>
            </w:r>
          </w:p>
        </w:tc>
        <w:tc>
          <w:tcPr>
            <w:tcW w:w="322" w:type="pct"/>
            <w:vMerge w:val="restar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实际运营月数×核定座位数</w:t>
            </w:r>
          </w:p>
        </w:tc>
        <w:tc>
          <w:tcPr>
            <w:tcW w:w="547" w:type="pct"/>
            <w:gridSpan w:val="2"/>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运政系统中车辆属性是否农村客运车辆（相应</w:t>
            </w:r>
            <w:r>
              <w:rPr>
                <w:rFonts w:hint="eastAsia" w:ascii="Times New Roman" w:hAnsi="Times New Roman" w:eastAsia="仿宋"/>
                <w:b/>
                <w:bCs/>
                <w:color w:val="auto"/>
                <w:szCs w:val="21"/>
              </w:rPr>
              <w:t>栏</w:t>
            </w:r>
            <w:r>
              <w:rPr>
                <w:rFonts w:ascii="Times New Roman" w:hAnsi="Times New Roman" w:eastAsia="仿宋"/>
                <w:b/>
                <w:bCs/>
                <w:color w:val="auto"/>
                <w:szCs w:val="21"/>
              </w:rPr>
              <w:t>打√）</w:t>
            </w:r>
          </w:p>
        </w:tc>
        <w:tc>
          <w:tcPr>
            <w:tcW w:w="547" w:type="pct"/>
            <w:gridSpan w:val="2"/>
            <w:noWrap w:val="0"/>
            <w:vAlign w:val="center"/>
          </w:tcPr>
          <w:p>
            <w:pPr>
              <w:adjustRightInd w:val="0"/>
              <w:snapToGrid w:val="0"/>
              <w:spacing w:line="240" w:lineRule="exact"/>
              <w:jc w:val="center"/>
              <w:rPr>
                <w:rFonts w:ascii="Times New Roman" w:hAnsi="Times New Roman" w:eastAsia="仿宋"/>
                <w:b/>
                <w:bCs/>
                <w:color w:val="auto"/>
                <w:szCs w:val="21"/>
              </w:rPr>
            </w:pPr>
            <w:r>
              <w:rPr>
                <w:rFonts w:hint="eastAsia" w:ascii="Times New Roman" w:hAnsi="Times New Roman" w:eastAsia="仿宋"/>
                <w:b/>
                <w:bCs/>
                <w:color w:val="auto"/>
                <w:szCs w:val="21"/>
              </w:rPr>
              <w:t>车辆是否有接入卫星定位监控平台</w:t>
            </w:r>
            <w:r>
              <w:rPr>
                <w:rFonts w:ascii="Times New Roman" w:hAnsi="Times New Roman" w:eastAsia="仿宋"/>
                <w:b/>
                <w:bCs/>
                <w:color w:val="auto"/>
                <w:szCs w:val="21"/>
              </w:rPr>
              <w:t>（相应</w:t>
            </w:r>
            <w:r>
              <w:rPr>
                <w:rFonts w:hint="eastAsia" w:ascii="Times New Roman" w:hAnsi="Times New Roman" w:eastAsia="仿宋"/>
                <w:b/>
                <w:bCs/>
                <w:color w:val="auto"/>
                <w:szCs w:val="21"/>
              </w:rPr>
              <w:t>栏</w:t>
            </w:r>
            <w:r>
              <w:rPr>
                <w:rFonts w:ascii="Times New Roman" w:hAnsi="Times New Roman" w:eastAsia="仿宋"/>
                <w:b/>
                <w:bCs/>
                <w:color w:val="auto"/>
                <w:szCs w:val="21"/>
              </w:rPr>
              <w:t>打√）</w:t>
            </w:r>
          </w:p>
        </w:tc>
        <w:tc>
          <w:tcPr>
            <w:tcW w:w="914" w:type="pct"/>
            <w:gridSpan w:val="3"/>
            <w:noWrap w:val="0"/>
            <w:vAlign w:val="center"/>
          </w:tcPr>
          <w:p>
            <w:pPr>
              <w:adjustRightInd w:val="0"/>
              <w:snapToGrid w:val="0"/>
              <w:spacing w:line="240" w:lineRule="exact"/>
              <w:jc w:val="center"/>
              <w:rPr>
                <w:rFonts w:ascii="Times New Roman" w:hAnsi="Times New Roman" w:eastAsia="仿宋"/>
                <w:b/>
                <w:bCs/>
                <w:color w:val="auto"/>
                <w:szCs w:val="21"/>
              </w:rPr>
            </w:pPr>
            <w:r>
              <w:rPr>
                <w:rFonts w:hint="eastAsia" w:ascii="Times New Roman" w:hAnsi="Times New Roman" w:eastAsia="仿宋"/>
                <w:b/>
                <w:bCs/>
                <w:color w:val="auto"/>
                <w:szCs w:val="21"/>
              </w:rPr>
              <w:t>车辆状态</w:t>
            </w:r>
            <w:r>
              <w:rPr>
                <w:rFonts w:ascii="Times New Roman" w:hAnsi="Times New Roman" w:eastAsia="仿宋"/>
                <w:b/>
                <w:bCs/>
                <w:color w:val="auto"/>
                <w:szCs w:val="21"/>
              </w:rPr>
              <w:t>（相应</w:t>
            </w:r>
            <w:r>
              <w:rPr>
                <w:rFonts w:hint="eastAsia" w:ascii="Times New Roman" w:hAnsi="Times New Roman" w:eastAsia="仿宋"/>
                <w:b/>
                <w:bCs/>
                <w:color w:val="auto"/>
                <w:szCs w:val="21"/>
              </w:rPr>
              <w:t>栏</w:t>
            </w:r>
            <w:r>
              <w:rPr>
                <w:rFonts w:ascii="Times New Roman" w:hAnsi="Times New Roman" w:eastAsia="仿宋"/>
                <w:b/>
                <w:bCs/>
                <w:color w:val="auto"/>
                <w:szCs w:val="21"/>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256"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1102"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426"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267"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189"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233"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322" w:type="pct"/>
            <w:vMerge w:val="continue"/>
            <w:noWrap w:val="0"/>
            <w:vAlign w:val="center"/>
          </w:tcPr>
          <w:p>
            <w:pPr>
              <w:adjustRightInd w:val="0"/>
              <w:snapToGrid w:val="0"/>
              <w:spacing w:line="240" w:lineRule="exact"/>
              <w:jc w:val="center"/>
              <w:rPr>
                <w:rFonts w:ascii="Times New Roman" w:hAnsi="Times New Roman" w:eastAsia="仿宋"/>
                <w:b/>
                <w:bCs/>
                <w:color w:val="auto"/>
                <w:szCs w:val="21"/>
              </w:rPr>
            </w:pPr>
          </w:p>
        </w:tc>
        <w:tc>
          <w:tcPr>
            <w:tcW w:w="273" w:type="pc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是</w:t>
            </w:r>
          </w:p>
        </w:tc>
        <w:tc>
          <w:tcPr>
            <w:tcW w:w="273" w:type="pc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否</w:t>
            </w:r>
          </w:p>
        </w:tc>
        <w:tc>
          <w:tcPr>
            <w:tcW w:w="273" w:type="pc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是</w:t>
            </w:r>
          </w:p>
        </w:tc>
        <w:tc>
          <w:tcPr>
            <w:tcW w:w="274" w:type="pc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否</w:t>
            </w:r>
          </w:p>
        </w:tc>
        <w:tc>
          <w:tcPr>
            <w:tcW w:w="240" w:type="pc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在营</w:t>
            </w:r>
          </w:p>
        </w:tc>
        <w:tc>
          <w:tcPr>
            <w:tcW w:w="240" w:type="pc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报废</w:t>
            </w:r>
          </w:p>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注销</w:t>
            </w:r>
          </w:p>
        </w:tc>
        <w:tc>
          <w:tcPr>
            <w:tcW w:w="432" w:type="pct"/>
            <w:noWrap w:val="0"/>
            <w:vAlign w:val="center"/>
          </w:tcPr>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报废注销</w:t>
            </w:r>
          </w:p>
          <w:p>
            <w:pPr>
              <w:adjustRightInd w:val="0"/>
              <w:snapToGrid w:val="0"/>
              <w:spacing w:line="240" w:lineRule="exact"/>
              <w:jc w:val="center"/>
              <w:rPr>
                <w:rFonts w:ascii="Times New Roman" w:hAnsi="Times New Roman" w:eastAsia="仿宋"/>
                <w:b/>
                <w:bCs/>
                <w:color w:val="auto"/>
                <w:szCs w:val="21"/>
              </w:rPr>
            </w:pPr>
            <w:r>
              <w:rPr>
                <w:rFonts w:ascii="Times New Roman" w:hAnsi="Times New Roman" w:eastAsia="仿宋"/>
                <w:b/>
                <w:bCs/>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noWrap w:val="0"/>
            <w:vAlign w:val="center"/>
          </w:tcPr>
          <w:p>
            <w:pPr>
              <w:adjustRightInd w:val="0"/>
              <w:snapToGrid w:val="0"/>
              <w:spacing w:line="560" w:lineRule="exact"/>
              <w:jc w:val="center"/>
              <w:rPr>
                <w:rFonts w:ascii="Times New Roman" w:hAnsi="Times New Roman" w:eastAsia="仿宋"/>
                <w:color w:val="auto"/>
                <w:szCs w:val="21"/>
              </w:rPr>
            </w:pPr>
            <w:r>
              <w:rPr>
                <w:rFonts w:hint="eastAsia" w:ascii="Times New Roman" w:hAnsi="Times New Roman" w:eastAsia="仿宋"/>
                <w:color w:val="auto"/>
                <w:szCs w:val="21"/>
              </w:rPr>
              <w:t>例</w:t>
            </w:r>
          </w:p>
        </w:tc>
        <w:tc>
          <w:tcPr>
            <w:tcW w:w="25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10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2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67" w:type="pct"/>
            <w:noWrap w:val="0"/>
            <w:vAlign w:val="center"/>
          </w:tcPr>
          <w:p>
            <w:pPr>
              <w:adjustRightInd w:val="0"/>
              <w:snapToGrid w:val="0"/>
              <w:spacing w:line="560" w:lineRule="exact"/>
              <w:jc w:val="center"/>
              <w:rPr>
                <w:rFonts w:ascii="Times New Roman" w:hAnsi="Times New Roman" w:eastAsia="仿宋"/>
                <w:color w:val="auto"/>
                <w:szCs w:val="21"/>
              </w:rPr>
            </w:pPr>
            <w:r>
              <w:rPr>
                <w:rFonts w:hint="eastAsia" w:ascii="Times New Roman" w:hAnsi="Times New Roman" w:eastAsia="仿宋"/>
                <w:color w:val="auto"/>
                <w:szCs w:val="21"/>
              </w:rPr>
              <w:t>黄色</w:t>
            </w:r>
          </w:p>
        </w:tc>
        <w:tc>
          <w:tcPr>
            <w:tcW w:w="189" w:type="pct"/>
            <w:noWrap w:val="0"/>
            <w:vAlign w:val="center"/>
          </w:tcPr>
          <w:p>
            <w:pPr>
              <w:adjustRightInd w:val="0"/>
              <w:snapToGrid w:val="0"/>
              <w:spacing w:line="560" w:lineRule="exact"/>
              <w:jc w:val="center"/>
              <w:rPr>
                <w:rFonts w:ascii="Times New Roman" w:hAnsi="Times New Roman" w:eastAsia="仿宋"/>
                <w:color w:val="auto"/>
                <w:szCs w:val="21"/>
              </w:rPr>
            </w:pPr>
            <w:r>
              <w:rPr>
                <w:rFonts w:hint="eastAsia" w:ascii="Times New Roman" w:hAnsi="Times New Roman" w:eastAsia="仿宋"/>
                <w:color w:val="auto"/>
                <w:szCs w:val="21"/>
              </w:rPr>
              <w:t>19</w:t>
            </w:r>
          </w:p>
        </w:tc>
        <w:tc>
          <w:tcPr>
            <w:tcW w:w="233" w:type="pct"/>
            <w:noWrap w:val="0"/>
            <w:vAlign w:val="center"/>
          </w:tcPr>
          <w:p>
            <w:pPr>
              <w:adjustRightInd w:val="0"/>
              <w:snapToGrid w:val="0"/>
              <w:spacing w:line="560" w:lineRule="exact"/>
              <w:jc w:val="center"/>
              <w:rPr>
                <w:rFonts w:ascii="Times New Roman" w:hAnsi="Times New Roman" w:eastAsia="仿宋"/>
                <w:color w:val="auto"/>
                <w:szCs w:val="21"/>
              </w:rPr>
            </w:pPr>
            <w:r>
              <w:rPr>
                <w:rFonts w:hint="eastAsia" w:ascii="Times New Roman" w:hAnsi="Times New Roman" w:eastAsia="仿宋"/>
                <w:color w:val="auto"/>
                <w:szCs w:val="21"/>
              </w:rPr>
              <w:t>9</w:t>
            </w:r>
          </w:p>
        </w:tc>
        <w:tc>
          <w:tcPr>
            <w:tcW w:w="322" w:type="pct"/>
            <w:noWrap w:val="0"/>
            <w:vAlign w:val="center"/>
          </w:tcPr>
          <w:p>
            <w:pPr>
              <w:adjustRightInd w:val="0"/>
              <w:snapToGrid w:val="0"/>
              <w:spacing w:line="560" w:lineRule="exact"/>
              <w:jc w:val="center"/>
              <w:rPr>
                <w:rFonts w:ascii="Times New Roman" w:hAnsi="Times New Roman" w:eastAsia="仿宋"/>
                <w:color w:val="auto"/>
                <w:szCs w:val="21"/>
              </w:rPr>
            </w:pPr>
            <w:r>
              <w:rPr>
                <w:rFonts w:hint="eastAsia" w:ascii="Times New Roman" w:hAnsi="Times New Roman" w:eastAsia="仿宋"/>
                <w:color w:val="auto"/>
                <w:szCs w:val="21"/>
              </w:rPr>
              <w:t>171</w:t>
            </w: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r>
              <w:rPr>
                <w:rFonts w:ascii="Times New Roman" w:hAnsi="Times New Roman" w:eastAsia="仿宋"/>
                <w:b/>
                <w:bCs/>
                <w:color w:val="auto"/>
                <w:szCs w:val="21"/>
              </w:rPr>
              <w:t>√</w:t>
            </w: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r>
              <w:rPr>
                <w:rFonts w:ascii="Times New Roman" w:hAnsi="Times New Roman" w:eastAsia="仿宋"/>
                <w:b/>
                <w:bCs/>
                <w:color w:val="auto"/>
                <w:szCs w:val="21"/>
              </w:rPr>
              <w:t>√</w:t>
            </w:r>
          </w:p>
        </w:tc>
        <w:tc>
          <w:tcPr>
            <w:tcW w:w="274"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tabs>
                <w:tab w:val="left" w:pos="378"/>
              </w:tabs>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r>
              <w:rPr>
                <w:rFonts w:ascii="Times New Roman" w:hAnsi="Times New Roman" w:eastAsia="仿宋"/>
                <w:b/>
                <w:bCs/>
                <w:color w:val="auto"/>
                <w:szCs w:val="21"/>
              </w:rPr>
              <w:t>√</w:t>
            </w:r>
          </w:p>
        </w:tc>
        <w:tc>
          <w:tcPr>
            <w:tcW w:w="432" w:type="pct"/>
            <w:noWrap w:val="0"/>
            <w:vAlign w:val="center"/>
          </w:tcPr>
          <w:p>
            <w:pPr>
              <w:adjustRightInd w:val="0"/>
              <w:snapToGrid w:val="0"/>
              <w:spacing w:line="560" w:lineRule="exact"/>
              <w:jc w:val="center"/>
              <w:rPr>
                <w:rFonts w:ascii="Times New Roman" w:hAnsi="Times New Roman" w:eastAsia="仿宋"/>
                <w:color w:val="auto"/>
                <w:szCs w:val="21"/>
              </w:rPr>
            </w:pPr>
            <w:r>
              <w:rPr>
                <w:rFonts w:hint="eastAsia" w:ascii="Times New Roman" w:hAnsi="Times New Roman" w:eastAsia="仿宋"/>
                <w:color w:val="auto"/>
                <w:szCs w:val="21"/>
              </w:rPr>
              <w:t>2022.12.12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5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10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2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67"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89"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3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32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4"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32" w:type="pct"/>
            <w:noWrap w:val="0"/>
            <w:vAlign w:val="center"/>
          </w:tcPr>
          <w:p>
            <w:pPr>
              <w:adjustRightInd w:val="0"/>
              <w:snapToGrid w:val="0"/>
              <w:spacing w:line="560" w:lineRule="exact"/>
              <w:jc w:val="center"/>
              <w:rPr>
                <w:rFonts w:ascii="Times New Roman" w:hAnsi="Times New Roman"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5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10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2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67"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89"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3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32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4"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32" w:type="pct"/>
            <w:noWrap w:val="0"/>
            <w:vAlign w:val="center"/>
          </w:tcPr>
          <w:p>
            <w:pPr>
              <w:adjustRightInd w:val="0"/>
              <w:snapToGrid w:val="0"/>
              <w:spacing w:line="560" w:lineRule="exact"/>
              <w:jc w:val="center"/>
              <w:rPr>
                <w:rFonts w:ascii="Times New Roman" w:hAnsi="Times New Roman"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5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10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2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67"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89"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3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32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4"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32" w:type="pct"/>
            <w:noWrap w:val="0"/>
            <w:vAlign w:val="center"/>
          </w:tcPr>
          <w:p>
            <w:pPr>
              <w:adjustRightInd w:val="0"/>
              <w:snapToGrid w:val="0"/>
              <w:spacing w:line="560" w:lineRule="exact"/>
              <w:jc w:val="center"/>
              <w:rPr>
                <w:rFonts w:ascii="Times New Roman" w:hAnsi="Times New Roman"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5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10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2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67"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89"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3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32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4"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32" w:type="pct"/>
            <w:noWrap w:val="0"/>
            <w:vAlign w:val="center"/>
          </w:tcPr>
          <w:p>
            <w:pPr>
              <w:adjustRightInd w:val="0"/>
              <w:snapToGrid w:val="0"/>
              <w:spacing w:line="560" w:lineRule="exact"/>
              <w:jc w:val="center"/>
              <w:rPr>
                <w:rFonts w:ascii="Times New Roman" w:hAnsi="Times New Roman"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5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10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26"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67"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189"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3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322"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3"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74"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240" w:type="pct"/>
            <w:noWrap w:val="0"/>
            <w:vAlign w:val="center"/>
          </w:tcPr>
          <w:p>
            <w:pPr>
              <w:adjustRightInd w:val="0"/>
              <w:snapToGrid w:val="0"/>
              <w:spacing w:line="560" w:lineRule="exact"/>
              <w:jc w:val="center"/>
              <w:rPr>
                <w:rFonts w:ascii="Times New Roman" w:hAnsi="Times New Roman" w:eastAsia="仿宋"/>
                <w:color w:val="auto"/>
                <w:szCs w:val="21"/>
              </w:rPr>
            </w:pPr>
          </w:p>
        </w:tc>
        <w:tc>
          <w:tcPr>
            <w:tcW w:w="432" w:type="pct"/>
            <w:noWrap w:val="0"/>
            <w:vAlign w:val="center"/>
          </w:tcPr>
          <w:p>
            <w:pPr>
              <w:adjustRightInd w:val="0"/>
              <w:snapToGrid w:val="0"/>
              <w:spacing w:line="560" w:lineRule="exact"/>
              <w:jc w:val="center"/>
              <w:rPr>
                <w:rFonts w:ascii="Times New Roman" w:hAnsi="Times New Roman" w:eastAsia="仿宋"/>
                <w:color w:val="auto"/>
                <w:szCs w:val="21"/>
              </w:rPr>
            </w:pPr>
          </w:p>
        </w:tc>
      </w:tr>
    </w:tbl>
    <w:p>
      <w:pPr>
        <w:adjustRightInd w:val="0"/>
        <w:snapToGrid w:val="0"/>
        <w:spacing w:before="120" w:line="24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填报人及联系方式：                                                                                           审核人：</w:t>
      </w:r>
    </w:p>
    <w:p>
      <w:pPr>
        <w:adjustRightInd w:val="0"/>
        <w:snapToGrid w:val="0"/>
        <w:spacing w:line="240" w:lineRule="exact"/>
        <w:rPr>
          <w:rFonts w:hint="eastAsia" w:ascii="仿宋_GB2312" w:hAnsi="仿宋_GB2312" w:eastAsia="仿宋_GB2312" w:cs="仿宋_GB2312"/>
          <w:color w:val="auto"/>
          <w:szCs w:val="21"/>
        </w:rPr>
      </w:pPr>
    </w:p>
    <w:p>
      <w:pPr>
        <w:adjustRightInd w:val="0"/>
        <w:snapToGrid w:val="0"/>
        <w:spacing w:line="24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说明：1.本表所统计数据为申报在营车辆数据，其中“实际运营月数”栏中车辆若存在交通运输主管部门认定全月未运营的，则该月不纳入统计。</w:t>
      </w:r>
    </w:p>
    <w:p>
      <w:pPr>
        <w:adjustRightInd w:val="0"/>
        <w:snapToGrid w:val="0"/>
        <w:spacing w:line="240" w:lineRule="exact"/>
        <w:ind w:firstLine="630" w:firstLineChars="3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2.运政系统中车辆属性为非农村客运的车辆不予纳入补助范围。</w:t>
      </w:r>
    </w:p>
    <w:p>
      <w:pPr>
        <w:adjustRightInd w:val="0"/>
        <w:snapToGrid w:val="0"/>
        <w:spacing w:line="240" w:lineRule="exact"/>
        <w:ind w:firstLine="630" w:firstLineChars="300"/>
        <w:rPr>
          <w:color w:val="auto"/>
        </w:rPr>
        <w:sectPr>
          <w:footerReference r:id="rId4" w:type="default"/>
          <w:pgSz w:w="16838" w:h="11906" w:orient="landscape"/>
          <w:pgMar w:top="1474" w:right="1984" w:bottom="1474" w:left="1134" w:header="851" w:footer="992" w:gutter="0"/>
          <w:cols w:space="720" w:num="1"/>
          <w:docGrid w:type="lines" w:linePitch="319" w:charSpace="0"/>
        </w:sectPr>
      </w:pPr>
      <w:r>
        <w:rPr>
          <w:rFonts w:hint="eastAsia" w:ascii="仿宋_GB2312" w:hAnsi="仿宋_GB2312" w:eastAsia="仿宋_GB2312" w:cs="仿宋_GB2312"/>
          <w:color w:val="auto"/>
          <w:szCs w:val="21"/>
        </w:rPr>
        <w:t>3.车辆状态截至申报年度12月31日当天状态为准，其中报停车辆视为“在营”状态，已报废注销的需填写报废注销日期。</w:t>
      </w:r>
    </w:p>
    <w:p>
      <w:pPr>
        <w:spacing w:line="560" w:lineRule="exact"/>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附件3</w:t>
      </w:r>
    </w:p>
    <w:p>
      <w:pPr>
        <w:adjustRightInd w:val="0"/>
        <w:snapToGrid w:val="0"/>
        <w:spacing w:line="560" w:lineRule="exact"/>
        <w:jc w:val="center"/>
        <w:rPr>
          <w:rFonts w:hint="eastAsia" w:ascii="方正小标宋_GBK" w:hAnsi="方正小标宋_GBK" w:eastAsia="方正小标宋_GBK" w:cs="方正小标宋_GBK"/>
          <w:color w:val="auto"/>
          <w:sz w:val="44"/>
          <w:szCs w:val="44"/>
          <w:lang w:val="en"/>
        </w:rPr>
      </w:pPr>
      <w:r>
        <w:rPr>
          <w:rFonts w:hint="eastAsia" w:ascii="方正小标宋_GBK" w:hAnsi="方正小标宋_GBK" w:eastAsia="方正小标宋_GBK" w:cs="方正小标宋_GBK"/>
          <w:color w:val="auto"/>
          <w:sz w:val="44"/>
          <w:szCs w:val="44"/>
          <w:lang w:val="en"/>
        </w:rPr>
        <w:t>农村客运车辆运营补助资金汇总表</w:t>
      </w:r>
    </w:p>
    <w:p>
      <w:pPr>
        <w:adjustRightInd w:val="0"/>
        <w:snapToGrid w:val="0"/>
        <w:spacing w:line="5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填报单位（盖章）：                     填报日期：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59"/>
        <w:gridCol w:w="1770"/>
        <w:gridCol w:w="2106"/>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1811" w:type="dxa"/>
            <w:noWrap w:val="0"/>
            <w:vAlign w:val="center"/>
          </w:tcPr>
          <w:p>
            <w:pPr>
              <w:pStyle w:val="2"/>
              <w:adjustRightInd w:val="0"/>
              <w:snapToGrid w:val="0"/>
              <w:spacing w:after="0" w:line="400" w:lineRule="exact"/>
              <w:ind w:left="0"/>
              <w:jc w:val="center"/>
              <w:rPr>
                <w:rFonts w:ascii="仿宋_GB2312" w:hAnsi="仿宋_GB2312" w:cs="仿宋_GB2312"/>
                <w:color w:val="auto"/>
                <w:szCs w:val="32"/>
              </w:rPr>
            </w:pPr>
            <w:r>
              <w:rPr>
                <w:rFonts w:eastAsia="仿宋"/>
                <w:b/>
                <w:bCs/>
                <w:color w:val="auto"/>
                <w:sz w:val="21"/>
                <w:szCs w:val="21"/>
              </w:rPr>
              <w:t>序号</w:t>
            </w:r>
          </w:p>
        </w:tc>
        <w:tc>
          <w:tcPr>
            <w:tcW w:w="1559" w:type="dxa"/>
            <w:noWrap w:val="0"/>
            <w:vAlign w:val="center"/>
          </w:tcPr>
          <w:p>
            <w:pPr>
              <w:pStyle w:val="2"/>
              <w:adjustRightInd w:val="0"/>
              <w:snapToGrid w:val="0"/>
              <w:spacing w:after="0" w:line="400" w:lineRule="exact"/>
              <w:ind w:left="0"/>
              <w:jc w:val="center"/>
              <w:rPr>
                <w:rFonts w:hint="eastAsia" w:eastAsia="仿宋"/>
                <w:b/>
                <w:bCs/>
                <w:color w:val="auto"/>
                <w:sz w:val="21"/>
                <w:szCs w:val="21"/>
                <w:lang w:val="en-US" w:eastAsia="zh-CN"/>
              </w:rPr>
            </w:pPr>
            <w:r>
              <w:rPr>
                <w:rFonts w:hint="eastAsia" w:eastAsia="仿宋"/>
                <w:b/>
                <w:bCs/>
                <w:color w:val="auto"/>
                <w:sz w:val="21"/>
                <w:szCs w:val="21"/>
              </w:rPr>
              <w:t>县（</w:t>
            </w:r>
            <w:r>
              <w:rPr>
                <w:rFonts w:hint="eastAsia" w:eastAsia="仿宋"/>
                <w:b/>
                <w:bCs/>
                <w:color w:val="auto"/>
                <w:sz w:val="21"/>
                <w:szCs w:val="21"/>
                <w:lang w:val="en-US" w:eastAsia="zh-CN"/>
              </w:rPr>
              <w:t>市</w:t>
            </w:r>
            <w:r>
              <w:rPr>
                <w:rFonts w:hint="eastAsia" w:eastAsia="仿宋"/>
                <w:b/>
                <w:bCs/>
                <w:color w:val="auto"/>
                <w:sz w:val="21"/>
                <w:szCs w:val="21"/>
              </w:rPr>
              <w:t>）</w:t>
            </w:r>
            <w:r>
              <w:rPr>
                <w:rFonts w:hint="eastAsia" w:eastAsia="仿宋"/>
                <w:b/>
                <w:bCs/>
                <w:color w:val="auto"/>
                <w:sz w:val="21"/>
                <w:szCs w:val="21"/>
                <w:lang w:val="en-US" w:eastAsia="zh-CN"/>
              </w:rPr>
              <w:t>区</w:t>
            </w:r>
          </w:p>
        </w:tc>
        <w:tc>
          <w:tcPr>
            <w:tcW w:w="1770" w:type="dxa"/>
            <w:noWrap w:val="0"/>
            <w:vAlign w:val="center"/>
          </w:tcPr>
          <w:p>
            <w:pPr>
              <w:pStyle w:val="2"/>
              <w:adjustRightInd w:val="0"/>
              <w:snapToGrid w:val="0"/>
              <w:spacing w:after="0" w:line="400" w:lineRule="exact"/>
              <w:ind w:left="0"/>
              <w:jc w:val="center"/>
              <w:rPr>
                <w:rFonts w:eastAsia="仿宋"/>
                <w:b/>
                <w:bCs/>
                <w:color w:val="auto"/>
                <w:sz w:val="21"/>
                <w:szCs w:val="21"/>
              </w:rPr>
            </w:pPr>
            <w:r>
              <w:rPr>
                <w:rFonts w:hint="eastAsia" w:eastAsia="仿宋"/>
                <w:b/>
                <w:bCs/>
                <w:color w:val="auto"/>
                <w:sz w:val="21"/>
                <w:szCs w:val="21"/>
              </w:rPr>
              <w:t>在营车辆数</w:t>
            </w:r>
          </w:p>
        </w:tc>
        <w:tc>
          <w:tcPr>
            <w:tcW w:w="2106" w:type="dxa"/>
            <w:noWrap w:val="0"/>
            <w:vAlign w:val="center"/>
          </w:tcPr>
          <w:p>
            <w:pPr>
              <w:pStyle w:val="2"/>
              <w:adjustRightInd w:val="0"/>
              <w:snapToGrid w:val="0"/>
              <w:spacing w:after="0" w:line="400" w:lineRule="exact"/>
              <w:ind w:left="0"/>
              <w:jc w:val="center"/>
              <w:rPr>
                <w:rFonts w:ascii="仿宋_GB2312" w:hAnsi="仿宋_GB2312" w:cs="仿宋_GB2312"/>
                <w:color w:val="auto"/>
                <w:szCs w:val="32"/>
              </w:rPr>
            </w:pPr>
            <w:r>
              <w:rPr>
                <w:rFonts w:hint="eastAsia" w:eastAsia="仿宋"/>
                <w:b/>
                <w:bCs/>
                <w:color w:val="auto"/>
                <w:sz w:val="21"/>
                <w:szCs w:val="21"/>
              </w:rPr>
              <w:t>车辆月座位数之和</w:t>
            </w:r>
          </w:p>
        </w:tc>
        <w:tc>
          <w:tcPr>
            <w:tcW w:w="1812" w:type="dxa"/>
            <w:noWrap w:val="0"/>
            <w:vAlign w:val="center"/>
          </w:tcPr>
          <w:p>
            <w:pPr>
              <w:pStyle w:val="2"/>
              <w:adjustRightInd w:val="0"/>
              <w:snapToGrid w:val="0"/>
              <w:spacing w:after="0" w:line="400" w:lineRule="exact"/>
              <w:ind w:left="0"/>
              <w:jc w:val="center"/>
              <w:rPr>
                <w:rFonts w:ascii="仿宋_GB2312" w:hAnsi="仿宋_GB2312" w:cs="仿宋_GB2312"/>
                <w:color w:val="auto"/>
                <w:szCs w:val="32"/>
              </w:rPr>
            </w:pPr>
            <w:r>
              <w:rPr>
                <w:rFonts w:hint="eastAsia" w:eastAsia="仿宋"/>
                <w:b/>
                <w:bCs/>
                <w:color w:val="auto"/>
                <w:sz w:val="21"/>
                <w:szCs w:val="21"/>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11"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559"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770"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2106" w:type="dxa"/>
            <w:noWrap w:val="0"/>
            <w:vAlign w:val="top"/>
          </w:tcPr>
          <w:p>
            <w:pPr>
              <w:pStyle w:val="2"/>
              <w:adjustRightInd w:val="0"/>
              <w:snapToGrid w:val="0"/>
              <w:spacing w:after="0" w:line="560" w:lineRule="exact"/>
              <w:rPr>
                <w:rFonts w:ascii="仿宋_GB2312" w:hAnsi="仿宋_GB2312" w:cs="仿宋_GB2312"/>
                <w:color w:val="auto"/>
                <w:szCs w:val="32"/>
              </w:rPr>
            </w:pPr>
          </w:p>
        </w:tc>
        <w:tc>
          <w:tcPr>
            <w:tcW w:w="1812" w:type="dxa"/>
            <w:noWrap w:val="0"/>
            <w:vAlign w:val="top"/>
          </w:tcPr>
          <w:p>
            <w:pPr>
              <w:pStyle w:val="2"/>
              <w:adjustRightInd w:val="0"/>
              <w:snapToGrid w:val="0"/>
              <w:spacing w:after="0" w:line="560" w:lineRule="exact"/>
              <w:rPr>
                <w:rFonts w:ascii="仿宋_GB2312" w:hAnsi="仿宋_GB2312" w:cs="仿宋_GB2312"/>
                <w:color w:val="auto"/>
                <w:szCs w:val="32"/>
              </w:rPr>
            </w:pPr>
          </w:p>
        </w:tc>
      </w:tr>
    </w:tbl>
    <w:p>
      <w:pPr>
        <w:pStyle w:val="2"/>
        <w:ind w:left="0" w:leftChars="0" w:firstLine="0" w:firstLineChars="0"/>
        <w:jc w:val="left"/>
        <w:rPr>
          <w:rFonts w:hint="eastAsia"/>
          <w:color w:val="auto"/>
        </w:rPr>
      </w:pPr>
      <w:r>
        <w:rPr>
          <w:rFonts w:hint="eastAsia" w:ascii="仿宋_GB2312" w:hAnsi="仿宋_GB2312" w:eastAsia="仿宋_GB2312" w:cs="仿宋_GB2312"/>
          <w:color w:val="auto"/>
          <w:szCs w:val="21"/>
        </w:rPr>
        <w:t xml:space="preserve">填报人及联系方式：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审核人：             </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仿宋_GB2312" w:eastAsia="仿宋_GB2312"/>
          <w:color w:val="auto"/>
          <w:sz w:val="32"/>
          <w:szCs w:val="32"/>
          <w:lang w:val="en-US" w:eastAsia="zh-CN"/>
        </w:rPr>
      </w:pPr>
    </w:p>
    <w:p>
      <w:pPr>
        <w:spacing w:line="560" w:lineRule="exact"/>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val="en-US" w:eastAsia="zh-CN"/>
        </w:rPr>
        <w:t>4</w:t>
      </w:r>
    </w:p>
    <w:p>
      <w:pPr>
        <w:adjustRightInd w:val="0"/>
        <w:snapToGrid w:val="0"/>
        <w:spacing w:line="56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申报企业承诺书</w:t>
      </w:r>
    </w:p>
    <w:p>
      <w:pPr>
        <w:adjustRightInd w:val="0"/>
        <w:snapToGrid w:val="0"/>
        <w:spacing w:line="560" w:lineRule="exact"/>
        <w:rPr>
          <w:rFonts w:hint="eastAsia" w:ascii="Times New Roman" w:hAnsi="Times New Roman" w:eastAsia="仿宋_GB2312"/>
          <w:spacing w:val="-6"/>
          <w:sz w:val="28"/>
          <w:szCs w:val="28"/>
        </w:rPr>
      </w:pPr>
    </w:p>
    <w:p>
      <w:pPr>
        <w:adjustRightInd w:val="0"/>
        <w:snapToGrid w:val="0"/>
        <w:spacing w:line="560" w:lineRule="exact"/>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兹郑重承诺：</w:t>
      </w:r>
    </w:p>
    <w:p>
      <w:pPr>
        <w:adjustRightInd w:val="0"/>
        <w:snapToGrid w:val="0"/>
        <w:spacing w:line="560" w:lineRule="exact"/>
        <w:ind w:firstLine="616" w:firstLineChars="200"/>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企业及企业法定代表人均未被列为失信被执行人或涉黑涉恶；我企业申报材料真实可信，并对申请表和所附材料的真实性负责，如有虚假，本企业愿意承担如下责任：</w:t>
      </w:r>
    </w:p>
    <w:p>
      <w:pPr>
        <w:adjustRightInd w:val="0"/>
        <w:snapToGrid w:val="0"/>
        <w:spacing w:line="560" w:lineRule="exact"/>
        <w:ind w:firstLine="596" w:firstLineChars="200"/>
        <w:rPr>
          <w:rFonts w:hint="eastAsia" w:ascii="Times New Roman" w:hAnsi="Times New Roman" w:eastAsia="仿宋_GB2312"/>
          <w:spacing w:val="-11"/>
          <w:sz w:val="32"/>
          <w:szCs w:val="32"/>
        </w:rPr>
      </w:pPr>
      <w:r>
        <w:rPr>
          <w:rFonts w:hint="eastAsia" w:ascii="Times New Roman" w:hAnsi="Times New Roman" w:eastAsia="仿宋_GB2312"/>
          <w:spacing w:val="-11"/>
          <w:sz w:val="32"/>
          <w:szCs w:val="32"/>
        </w:rPr>
        <w:t>一、取消本企业申请资金申报资格，并退回已兑现的奖励资金。</w:t>
      </w:r>
    </w:p>
    <w:p>
      <w:pPr>
        <w:adjustRightInd w:val="0"/>
        <w:snapToGrid w:val="0"/>
        <w:spacing w:line="560" w:lineRule="exact"/>
        <w:ind w:firstLine="616" w:firstLineChars="200"/>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二、依照《财政违法行为处罚处分条例》（国务院令第427号）第十四条规定“企业骗取财政资金的，责令改正，调整有关会计账目，追回违反规定使用、骗取的有关资金，给予警告，没收违法所得，并处被骗取有关资金10%以上50%以下的罚款或者被违规使用资金10%以上30%以下的罚款；对直接负责的主管人员和其他直接责任人员处3000元以上5万元以下的罚款”及其他有关规定承担相应责任。</w:t>
      </w:r>
    </w:p>
    <w:p>
      <w:pPr>
        <w:adjustRightInd w:val="0"/>
        <w:snapToGrid w:val="0"/>
        <w:spacing w:line="560" w:lineRule="exact"/>
        <w:ind w:firstLine="616" w:firstLineChars="200"/>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三、构成犯罪的，依法承担法律责任。</w:t>
      </w:r>
    </w:p>
    <w:p>
      <w:pPr>
        <w:adjustRightInd w:val="0"/>
        <w:snapToGrid w:val="0"/>
        <w:spacing w:line="560" w:lineRule="exact"/>
        <w:rPr>
          <w:rFonts w:hint="eastAsia" w:ascii="Times New Roman" w:hAnsi="Times New Roman" w:eastAsia="仿宋_GB2312"/>
          <w:spacing w:val="-6"/>
          <w:sz w:val="32"/>
          <w:szCs w:val="32"/>
        </w:rPr>
      </w:pPr>
    </w:p>
    <w:p>
      <w:pPr>
        <w:pStyle w:val="2"/>
        <w:adjustRightInd w:val="0"/>
        <w:snapToGrid w:val="0"/>
        <w:spacing w:after="0" w:line="560" w:lineRule="exact"/>
        <w:ind w:left="0"/>
        <w:rPr>
          <w:rFonts w:hint="eastAsia"/>
        </w:rPr>
      </w:pPr>
    </w:p>
    <w:p>
      <w:pPr>
        <w:adjustRightInd w:val="0"/>
        <w:snapToGrid w:val="0"/>
        <w:spacing w:line="560" w:lineRule="exact"/>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 xml:space="preserve">             法定代表人（签字）：</w:t>
      </w:r>
    </w:p>
    <w:p>
      <w:pPr>
        <w:adjustRightInd w:val="0"/>
        <w:snapToGrid w:val="0"/>
        <w:spacing w:line="560" w:lineRule="exact"/>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 xml:space="preserve">             申报企业全称并盖章：</w:t>
      </w:r>
    </w:p>
    <w:p>
      <w:pPr>
        <w:adjustRightInd w:val="0"/>
        <w:snapToGrid w:val="0"/>
        <w:spacing w:line="560" w:lineRule="exact"/>
        <w:ind w:right="840" w:rightChars="400"/>
        <w:jc w:val="right"/>
        <w:rPr>
          <w:rFonts w:hint="eastAsia"/>
          <w:spacing w:val="-6"/>
          <w:sz w:val="32"/>
          <w:szCs w:val="32"/>
        </w:rPr>
        <w:sectPr>
          <w:headerReference r:id="rId6" w:type="first"/>
          <w:footerReference r:id="rId8" w:type="first"/>
          <w:headerReference r:id="rId5" w:type="default"/>
          <w:footerReference r:id="rId7" w:type="default"/>
          <w:pgSz w:w="11907" w:h="16840"/>
          <w:pgMar w:top="2098" w:right="1474" w:bottom="1984" w:left="1474" w:header="1418" w:footer="1417" w:gutter="0"/>
          <w:cols w:space="720" w:num="1"/>
          <w:docGrid w:type="lines" w:linePitch="597" w:charSpace="0"/>
        </w:sectPr>
      </w:pPr>
      <w:r>
        <w:rPr>
          <w:rFonts w:hint="eastAsia" w:ascii="Times New Roman" w:hAnsi="Times New Roman" w:eastAsia="仿宋_GB2312"/>
          <w:spacing w:val="-6"/>
          <w:sz w:val="32"/>
          <w:szCs w:val="32"/>
        </w:rPr>
        <w:t>年   月   日</w:t>
      </w:r>
    </w:p>
    <w:p>
      <w:pPr>
        <w:pStyle w:val="2"/>
        <w:rPr>
          <w:rFonts w:hint="default"/>
          <w:lang w:val="en-US" w:eastAsia="zh-CN"/>
        </w:rPr>
      </w:pPr>
    </w:p>
    <w:sectPr>
      <w:headerReference r:id="rId9" w:type="default"/>
      <w:footerReference r:id="rId10" w:type="default"/>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32"/>
      </w:rPr>
    </w:pPr>
    <w:r>
      <w:rPr>
        <w:sz w:val="21"/>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-445770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5.1pt;height:144pt;width:144pt;mso-position-horizontal:outside;mso-position-horizontal-relative:margin;mso-wrap-style:none;z-index:251659264;mso-width-relative:page;mso-height-relative:page;" filled="f" stroked="f" coordsize="21600,21600" o:gfxdata="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PxEOjWAAAACAEAAA8AAAAAAAAAAQAgAAAAIgAA&#10;AGRycy9kb3ducmV2LnhtbFBLAQIUABQAAAAIAIdO4kAslDbw0QEAAKIDAAAOAAAAAAAAAAEAIAAA&#10;ACUBAABkcnMvZTJvRG9jLnhtbFBLBQYAAAAABgAGAFkBAABo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8001000</wp:posOffset>
              </wp:positionH>
              <wp:positionV relativeFrom="paragraph">
                <wp:posOffset>-205740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30pt;margin-top:-16.2pt;height:144pt;width:144pt;mso-position-horizontal-relative:margin;mso-wrap-style:none;z-index:251660288;mso-width-relative:page;mso-height-relative:page;" filled="f" stroked="f" coordsize="21600,21600" o:gfxdata="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zNh9vZAAAADQEAAA8AAAAAAAAAAQAgAAAA&#10;IgAAAGRycy9kb3ducmV2LnhtbFBLAQIUABQAAAAIAIdO4kCxuOmM0QEAAKIDAAAOAAAAAAAAAAEA&#10;IAAAACgBAABkcnMvZTJvRG9jLnhtbFBLBQYAAAAABgAGAFkBAABrBQAAAAA=&#10;">
              <v:fill on="f" focussize="0,0"/>
              <v:stroke on="f" weight="0.5pt"/>
              <v:imagedata o:title=""/>
              <o:lock v:ext="edit" aspectratio="f"/>
              <v:textbox inset="0mm,0mm,0mm,0mm" style="mso-fit-shape-to-text:t;">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hint="eastAsia" w:ascii="Times New Roman" w:hAnsi="Times New Roman" w:eastAsia="仿宋_GB2312"/>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-274320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21.6pt;height:144pt;width:144pt;mso-position-horizontal-relative:margin;mso-wrap-style:none;z-index:251660288;mso-width-relative:page;mso-height-relative:page;" filled="f" stroked="f" coordsize="21600,21600" o:gfxdata="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j/XGtQAAAAIAQAADwAAAAAAAAABACAAAAAiAAAAZHJzL2Rvd25y&#10;ZXYueG1sUEsBAhQAFAAAAAgAh07iQNRflCbJAQAAmQMAAA4AAAAAAAAAAQAgAAAAIwEAAGRycy9l&#10;Mm9Eb2MueG1sUEsFBgAAAAAGAAYAWQEAAF4FAAAAAA==&#10;">
              <v:fill on="f" focussize="0,0"/>
              <v:stroke on="f"/>
              <v:imagedata o:title=""/>
              <o:lock v:ext="edit" aspectratio="f"/>
              <v:textbox inset="0mm,0mm,0mm,0mm" style="mso-fit-shape-to-text:t;">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仿宋_GB2312"/>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hint="eastAsia" w:ascii="Times New Roman" w:hAnsi="Times New Roman" w:eastAsia="仿宋_GB2312"/>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-274320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21.6pt;height:144pt;width:144pt;mso-position-horizontal-relative:margin;mso-wrap-style:none;z-index:251661312;mso-width-relative:page;mso-height-relative:page;" filled="f" stroked="f" coordsize="21600,21600" o:gfxdata="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GP9ca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Times New Roman" w:hAnsi="Times New Roman" w:eastAsia="仿宋_GB2312"/>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42C26"/>
    <w:multiLevelType w:val="singleLevel"/>
    <w:tmpl w:val="94F42C26"/>
    <w:lvl w:ilvl="0" w:tentative="0">
      <w:start w:val="6"/>
      <w:numFmt w:val="chineseCounting"/>
      <w:suff w:val="nothing"/>
      <w:lvlText w:val="%1、"/>
      <w:lvlJc w:val="left"/>
      <w:rPr>
        <w:rFonts w:hint="eastAsia"/>
      </w:rPr>
    </w:lvl>
  </w:abstractNum>
  <w:abstractNum w:abstractNumId="1">
    <w:nsid w:val="CA9B0900"/>
    <w:multiLevelType w:val="singleLevel"/>
    <w:tmpl w:val="CA9B0900"/>
    <w:lvl w:ilvl="0" w:tentative="0">
      <w:start w:val="3"/>
      <w:numFmt w:val="decimal"/>
      <w:suff w:val="nothing"/>
      <w:lvlText w:val="%1、"/>
      <w:lvlJc w:val="left"/>
    </w:lvl>
  </w:abstractNum>
  <w:abstractNum w:abstractNumId="2">
    <w:nsid w:val="E2744806"/>
    <w:multiLevelType w:val="singleLevel"/>
    <w:tmpl w:val="E2744806"/>
    <w:lvl w:ilvl="0" w:tentative="0">
      <w:start w:val="2"/>
      <w:numFmt w:val="decimal"/>
      <w:suff w:val="nothing"/>
      <w:lvlText w:val="%1、"/>
      <w:lvlJc w:val="left"/>
    </w:lvl>
  </w:abstractNum>
  <w:abstractNum w:abstractNumId="3">
    <w:nsid w:val="096641B9"/>
    <w:multiLevelType w:val="singleLevel"/>
    <w:tmpl w:val="096641B9"/>
    <w:lvl w:ilvl="0" w:tentative="0">
      <w:start w:val="2"/>
      <w:numFmt w:val="chineseCounting"/>
      <w:suff w:val="nothing"/>
      <w:lvlText w:val="（%1）"/>
      <w:lvlJc w:val="left"/>
      <w:rPr>
        <w:rFonts w:hint="eastAsia"/>
      </w:rPr>
    </w:lvl>
  </w:abstractNum>
  <w:abstractNum w:abstractNumId="4">
    <w:nsid w:val="625B5339"/>
    <w:multiLevelType w:val="singleLevel"/>
    <w:tmpl w:val="625B5339"/>
    <w:lvl w:ilvl="0" w:tentative="0">
      <w:start w:val="3"/>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NWI0MjZiNDM5M2Q2ZThjMjUzNTFkYzJhZTQ5ODcifQ=="/>
  </w:docVars>
  <w:rsids>
    <w:rsidRoot w:val="00000000"/>
    <w:rsid w:val="014F4774"/>
    <w:rsid w:val="0971072D"/>
    <w:rsid w:val="0E5057A7"/>
    <w:rsid w:val="114535BD"/>
    <w:rsid w:val="15F143E2"/>
    <w:rsid w:val="193D7A11"/>
    <w:rsid w:val="1F341F76"/>
    <w:rsid w:val="1FFF562F"/>
    <w:rsid w:val="26772390"/>
    <w:rsid w:val="2A944F41"/>
    <w:rsid w:val="2EBA1237"/>
    <w:rsid w:val="35E31DB0"/>
    <w:rsid w:val="36734404"/>
    <w:rsid w:val="38A40742"/>
    <w:rsid w:val="403703F1"/>
    <w:rsid w:val="47C50090"/>
    <w:rsid w:val="482D1753"/>
    <w:rsid w:val="4A4B4EB4"/>
    <w:rsid w:val="4AA77F21"/>
    <w:rsid w:val="5A1E1882"/>
    <w:rsid w:val="5B175F2C"/>
    <w:rsid w:val="60E03D35"/>
    <w:rsid w:val="63F05DFF"/>
    <w:rsid w:val="65DB0420"/>
    <w:rsid w:val="65DB2279"/>
    <w:rsid w:val="7EAF501B"/>
    <w:rsid w:val="7F076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autoRedefine/>
    <w:unhideWhenUsed/>
    <w:qFormat/>
    <w:uiPriority w:val="99"/>
    <w:pPr>
      <w:spacing w:line="580" w:lineRule="exact"/>
      <w:ind w:firstLine="600" w:firstLineChars="200"/>
    </w:pPr>
    <w:rPr>
      <w:sz w:val="30"/>
      <w:szCs w:val="30"/>
    </w:rPr>
  </w:style>
  <w:style w:type="paragraph" w:styleId="3">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4">
    <w:name w:val="Normal (Web)"/>
    <w:basedOn w:val="1"/>
    <w:autoRedefine/>
    <w:unhideWhenUsed/>
    <w:qFormat/>
    <w:uiPriority w:val="99"/>
    <w:pPr>
      <w:spacing w:before="100" w:beforeAutospacing="1" w:after="100" w:afterAutospacing="1"/>
      <w:jc w:val="left"/>
    </w:pPr>
    <w:rPr>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Gaea Selene</cp:lastModifiedBy>
  <cp:lastPrinted>2024-02-29T09:25:33Z</cp:lastPrinted>
  <dcterms:modified xsi:type="dcterms:W3CDTF">2024-02-29T09:40:20Z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659CF60664F1452B90E2645CF06C2F69_13</vt:lpwstr>
  </property>
</Properties>
</file>